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30B15E" w14:textId="426C7489" w:rsidR="001032E8" w:rsidRPr="00EC4212" w:rsidRDefault="007F3C5C" w:rsidP="00EC4212">
      <w:pPr>
        <w:spacing w:after="240" w:line="259" w:lineRule="auto"/>
        <w:jc w:val="both"/>
        <w:rPr>
          <w:rFonts w:ascii="Arial" w:eastAsia="sans-serif" w:hAnsi="Arial" w:cs="Arial"/>
          <w:b/>
          <w:bCs/>
          <w:color w:val="131B2C"/>
          <w:sz w:val="36"/>
          <w:szCs w:val="36"/>
          <w:shd w:val="clear" w:color="auto" w:fill="FFFFFF"/>
          <w:lang w:val="en-IN"/>
        </w:rPr>
      </w:pPr>
      <w:r w:rsidRPr="00EC4212">
        <w:rPr>
          <w:rFonts w:ascii="Arial" w:hAnsi="Arial"/>
          <w:b/>
          <w:bCs/>
          <w:sz w:val="36"/>
          <w:szCs w:val="36"/>
        </w:rPr>
        <w:t xml:space="preserve">IPH Limited </w:t>
      </w:r>
      <w:r w:rsidR="00905AA1" w:rsidRPr="00EC4212">
        <w:rPr>
          <w:rFonts w:ascii="Arial" w:hAnsi="Arial"/>
          <w:b/>
          <w:bCs/>
          <w:sz w:val="36"/>
          <w:szCs w:val="36"/>
          <w:lang w:val="en-IN"/>
        </w:rPr>
        <w:t>(ASX:</w:t>
      </w:r>
      <w:r w:rsidRPr="00EC4212">
        <w:rPr>
          <w:rFonts w:ascii="Arial" w:hAnsi="Arial"/>
          <w:b/>
          <w:bCs/>
          <w:sz w:val="36"/>
          <w:szCs w:val="36"/>
          <w:lang w:val="en-IN"/>
        </w:rPr>
        <w:t xml:space="preserve"> IPH</w:t>
      </w:r>
      <w:r w:rsidR="00905AA1" w:rsidRPr="00EC4212">
        <w:rPr>
          <w:rFonts w:ascii="Arial" w:hAnsi="Arial"/>
          <w:b/>
          <w:bCs/>
          <w:sz w:val="36"/>
          <w:szCs w:val="36"/>
          <w:lang w:val="en-IN"/>
        </w:rPr>
        <w:t>)</w:t>
      </w:r>
    </w:p>
    <w:p w14:paraId="5ED6D2E7" w14:textId="0B6AC123" w:rsidR="00EC4212" w:rsidRDefault="00907149" w:rsidP="004F39B6">
      <w:pPr>
        <w:spacing w:after="240"/>
        <w:jc w:val="both"/>
        <w:rPr>
          <w:rFonts w:ascii="Arial" w:eastAsia="sans-serif" w:hAnsi="Arial" w:cs="Arial"/>
          <w:b/>
          <w:bCs/>
          <w:color w:val="131B2C"/>
          <w:sz w:val="32"/>
          <w:szCs w:val="32"/>
          <w:shd w:val="clear" w:color="auto" w:fill="FFFFFF"/>
          <w:lang w:val="en-IN"/>
        </w:rPr>
      </w:pPr>
      <w:r w:rsidRPr="00907149">
        <w:rPr>
          <w:rFonts w:ascii="Arial" w:eastAsia="sans-serif" w:hAnsi="Arial" w:cs="Arial"/>
          <w:b/>
          <w:bCs/>
          <w:color w:val="131B2C"/>
          <w:sz w:val="32"/>
          <w:szCs w:val="32"/>
          <w:shd w:val="clear" w:color="auto" w:fill="FFFFFF"/>
          <w:lang w:val="en-IN"/>
        </w:rPr>
        <w:drawing>
          <wp:inline distT="0" distB="0" distL="0" distR="0" wp14:anchorId="19801590" wp14:editId="61C7F17A">
            <wp:extent cx="3362794" cy="2114845"/>
            <wp:effectExtent l="0" t="0" r="9525" b="0"/>
            <wp:docPr id="76505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5606" name=""/>
                    <pic:cNvPicPr/>
                  </pic:nvPicPr>
                  <pic:blipFill>
                    <a:blip r:embed="rId4"/>
                    <a:stretch>
                      <a:fillRect/>
                    </a:stretch>
                  </pic:blipFill>
                  <pic:spPr>
                    <a:xfrm>
                      <a:off x="0" y="0"/>
                      <a:ext cx="3362794" cy="2114845"/>
                    </a:xfrm>
                    <a:prstGeom prst="rect">
                      <a:avLst/>
                    </a:prstGeom>
                  </pic:spPr>
                </pic:pic>
              </a:graphicData>
            </a:graphic>
          </wp:inline>
        </w:drawing>
      </w:r>
    </w:p>
    <w:p w14:paraId="2388AA38" w14:textId="545BBFB8" w:rsidR="001032E8" w:rsidRDefault="005F77B4" w:rsidP="00EC4212">
      <w:pPr>
        <w:spacing w:after="240" w:line="259" w:lineRule="auto"/>
        <w:jc w:val="both"/>
        <w:rPr>
          <w:rFonts w:ascii="Arial" w:eastAsia="sans-serif" w:hAnsi="Arial" w:cs="Arial"/>
          <w:b/>
          <w:bCs/>
          <w:color w:val="131B2C"/>
          <w:sz w:val="32"/>
          <w:szCs w:val="32"/>
          <w:shd w:val="clear" w:color="auto" w:fill="FFFFFF"/>
          <w:lang w:val="en-IN"/>
        </w:rPr>
      </w:pPr>
      <w:r>
        <w:rPr>
          <w:rFonts w:ascii="Arial" w:eastAsia="sans-serif" w:hAnsi="Arial" w:cs="Arial"/>
          <w:b/>
          <w:bCs/>
          <w:color w:val="131B2C"/>
          <w:sz w:val="32"/>
          <w:szCs w:val="32"/>
          <w:shd w:val="clear" w:color="auto" w:fill="FFFFFF"/>
          <w:lang w:val="en-IN"/>
        </w:rPr>
        <w:t>Company Profile:</w:t>
      </w:r>
    </w:p>
    <w:p w14:paraId="216D39EC" w14:textId="5A924E8F" w:rsidR="00294740" w:rsidRDefault="00486E19" w:rsidP="00EC4212">
      <w:pPr>
        <w:spacing w:line="259" w:lineRule="auto"/>
        <w:jc w:val="both"/>
        <w:rPr>
          <w:rFonts w:ascii="Arial" w:eastAsia="sans-serif" w:hAnsi="Arial" w:cs="Arial"/>
          <w:color w:val="131B2C"/>
          <w:sz w:val="32"/>
          <w:szCs w:val="32"/>
          <w:shd w:val="clear" w:color="auto" w:fill="FFFFFF"/>
        </w:rPr>
      </w:pPr>
      <w:r w:rsidRPr="00486E19">
        <w:rPr>
          <w:rFonts w:ascii="Arial" w:eastAsia="sans-serif" w:hAnsi="Arial" w:cs="Arial"/>
          <w:color w:val="131B2C"/>
          <w:sz w:val="32"/>
          <w:szCs w:val="32"/>
          <w:shd w:val="clear" w:color="auto" w:fill="FFFFFF"/>
        </w:rPr>
        <w:t xml:space="preserve">IPH Limited is an Australia-based company, which provides intellectual property (IP) services. The Company provides services for the protection, commercialization, enforcement and management of all forms of IP, including patents, trademarks and designs. It operates through three segments: Australian and New Zealand IP, Canada IP and Asia IP. The segments offer services related to the provision of filing, prosecution, enforcement and management of patents, designs, trademarks and other IP services. The Company has a network of member firms servicing approximately 26 IP jurisdictions. The group includes IP firms AJ Park, Applied Marks, Griffith Hack, </w:t>
      </w:r>
      <w:proofErr w:type="spellStart"/>
      <w:r w:rsidRPr="00486E19">
        <w:rPr>
          <w:rFonts w:ascii="Arial" w:eastAsia="sans-serif" w:hAnsi="Arial" w:cs="Arial"/>
          <w:color w:val="131B2C"/>
          <w:sz w:val="32"/>
          <w:szCs w:val="32"/>
          <w:shd w:val="clear" w:color="auto" w:fill="FFFFFF"/>
        </w:rPr>
        <w:t>Pizzeys</w:t>
      </w:r>
      <w:proofErr w:type="spellEnd"/>
      <w:r w:rsidRPr="00486E19">
        <w:rPr>
          <w:rFonts w:ascii="Arial" w:eastAsia="sans-serif" w:hAnsi="Arial" w:cs="Arial"/>
          <w:color w:val="131B2C"/>
          <w:sz w:val="32"/>
          <w:szCs w:val="32"/>
          <w:shd w:val="clear" w:color="auto" w:fill="FFFFFF"/>
        </w:rPr>
        <w:t xml:space="preserve">, ROBIC, Smart &amp; </w:t>
      </w:r>
      <w:proofErr w:type="spellStart"/>
      <w:r w:rsidRPr="00486E19">
        <w:rPr>
          <w:rFonts w:ascii="Arial" w:eastAsia="sans-serif" w:hAnsi="Arial" w:cs="Arial"/>
          <w:color w:val="131B2C"/>
          <w:sz w:val="32"/>
          <w:szCs w:val="32"/>
          <w:shd w:val="clear" w:color="auto" w:fill="FFFFFF"/>
        </w:rPr>
        <w:t>Biggar</w:t>
      </w:r>
      <w:proofErr w:type="spellEnd"/>
      <w:r w:rsidRPr="00486E19">
        <w:rPr>
          <w:rFonts w:ascii="Arial" w:eastAsia="sans-serif" w:hAnsi="Arial" w:cs="Arial"/>
          <w:color w:val="131B2C"/>
          <w:sz w:val="32"/>
          <w:szCs w:val="32"/>
          <w:shd w:val="clear" w:color="auto" w:fill="FFFFFF"/>
        </w:rPr>
        <w:t xml:space="preserve">, </w:t>
      </w:r>
      <w:proofErr w:type="spellStart"/>
      <w:r w:rsidRPr="00486E19">
        <w:rPr>
          <w:rFonts w:ascii="Arial" w:eastAsia="sans-serif" w:hAnsi="Arial" w:cs="Arial"/>
          <w:color w:val="131B2C"/>
          <w:sz w:val="32"/>
          <w:szCs w:val="32"/>
          <w:shd w:val="clear" w:color="auto" w:fill="FFFFFF"/>
        </w:rPr>
        <w:t>Spruson</w:t>
      </w:r>
      <w:proofErr w:type="spellEnd"/>
      <w:r w:rsidRPr="00486E19">
        <w:rPr>
          <w:rFonts w:ascii="Arial" w:eastAsia="sans-serif" w:hAnsi="Arial" w:cs="Arial"/>
          <w:color w:val="131B2C"/>
          <w:sz w:val="32"/>
          <w:szCs w:val="32"/>
          <w:shd w:val="clear" w:color="auto" w:fill="FFFFFF"/>
        </w:rPr>
        <w:t xml:space="preserve"> &amp; Ferguson, and online trademark provider Applied Marks. It works with a diverse client base of Fortune Global 500 companies and other multinationals, public sector research organizations, small and medium-sized enterprises (SMEs), and professional service firms.</w:t>
      </w:r>
    </w:p>
    <w:p w14:paraId="39EE45F6" w14:textId="77777777" w:rsidR="00486E19" w:rsidRDefault="00486E19" w:rsidP="00EC4212">
      <w:pPr>
        <w:spacing w:line="259" w:lineRule="auto"/>
        <w:jc w:val="both"/>
        <w:rPr>
          <w:rFonts w:ascii="Arial" w:eastAsia="sans-serif" w:hAnsi="Arial" w:cs="Arial"/>
          <w:color w:val="131B2C"/>
          <w:sz w:val="32"/>
          <w:szCs w:val="32"/>
          <w:shd w:val="clear" w:color="auto" w:fill="FFFFFF"/>
          <w:lang w:val="en-IN"/>
        </w:rPr>
      </w:pPr>
    </w:p>
    <w:p w14:paraId="1B7C08E2" w14:textId="77777777" w:rsidR="001032E8" w:rsidRDefault="005F77B4" w:rsidP="00EC4212">
      <w:pPr>
        <w:spacing w:after="240" w:line="259" w:lineRule="auto"/>
        <w:jc w:val="both"/>
        <w:rPr>
          <w:rFonts w:ascii="Arial" w:hAnsi="Arial" w:cs="Arial"/>
          <w:b/>
          <w:color w:val="0D0D0D"/>
          <w:sz w:val="32"/>
          <w:szCs w:val="32"/>
          <w:shd w:val="clear" w:color="auto" w:fill="FAFAFA"/>
        </w:rPr>
      </w:pPr>
      <w:r>
        <w:rPr>
          <w:rFonts w:ascii="Arial" w:hAnsi="Arial" w:cs="Arial"/>
          <w:b/>
          <w:color w:val="0D0D0D"/>
          <w:sz w:val="32"/>
          <w:szCs w:val="32"/>
          <w:shd w:val="clear" w:color="auto" w:fill="FAFAFA"/>
        </w:rPr>
        <w:t>Stock Performance Profile:</w:t>
      </w:r>
    </w:p>
    <w:p w14:paraId="0FB9C927" w14:textId="2AE00FDE" w:rsidR="00EC4212" w:rsidRDefault="00EC4212" w:rsidP="00F15ED9">
      <w:pPr>
        <w:spacing w:line="259" w:lineRule="auto"/>
        <w:jc w:val="both"/>
        <w:rPr>
          <w:rFonts w:ascii="Arial" w:hAnsi="Arial" w:cs="Arial"/>
          <w:b/>
          <w:color w:val="0D0D0D"/>
          <w:sz w:val="32"/>
          <w:szCs w:val="32"/>
          <w:shd w:val="clear" w:color="auto" w:fill="FAFAFA"/>
        </w:rPr>
      </w:pPr>
      <w:r w:rsidRPr="00EC4212">
        <w:rPr>
          <w:rFonts w:ascii="Arial" w:hAnsi="Arial" w:cs="Arial"/>
          <w:b/>
          <w:noProof/>
          <w:color w:val="0D0D0D"/>
          <w:sz w:val="32"/>
          <w:szCs w:val="32"/>
          <w:shd w:val="clear" w:color="auto" w:fill="FAFAFA"/>
        </w:rPr>
        <w:lastRenderedPageBreak/>
        <w:drawing>
          <wp:inline distT="0" distB="0" distL="0" distR="0" wp14:anchorId="70CD7BFB" wp14:editId="3B20BFC8">
            <wp:extent cx="5274310" cy="2459355"/>
            <wp:effectExtent l="0" t="0" r="2540" b="0"/>
            <wp:docPr id="603582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82117" name=""/>
                    <pic:cNvPicPr/>
                  </pic:nvPicPr>
                  <pic:blipFill>
                    <a:blip r:embed="rId5"/>
                    <a:stretch>
                      <a:fillRect/>
                    </a:stretch>
                  </pic:blipFill>
                  <pic:spPr>
                    <a:xfrm>
                      <a:off x="0" y="0"/>
                      <a:ext cx="5274310" cy="2459355"/>
                    </a:xfrm>
                    <a:prstGeom prst="rect">
                      <a:avLst/>
                    </a:prstGeom>
                  </pic:spPr>
                </pic:pic>
              </a:graphicData>
            </a:graphic>
          </wp:inline>
        </w:drawing>
      </w:r>
    </w:p>
    <w:p w14:paraId="0B5D516F" w14:textId="177F7090" w:rsidR="00330D36" w:rsidRDefault="00330D36" w:rsidP="00F15ED9">
      <w:pPr>
        <w:spacing w:line="259" w:lineRule="auto"/>
        <w:jc w:val="both"/>
        <w:rPr>
          <w:rFonts w:ascii="Arial" w:hAnsi="Arial" w:cs="Arial"/>
          <w:bCs/>
          <w:color w:val="0D0D0D"/>
          <w:sz w:val="32"/>
          <w:szCs w:val="32"/>
          <w:shd w:val="clear" w:color="auto" w:fill="FAFAFA"/>
        </w:rPr>
      </w:pPr>
      <w:r w:rsidRPr="00330D36">
        <w:rPr>
          <w:rFonts w:ascii="Arial" w:hAnsi="Arial" w:cs="Arial"/>
          <w:bCs/>
          <w:color w:val="0D0D0D"/>
          <w:sz w:val="32"/>
          <w:szCs w:val="32"/>
          <w:shd w:val="clear" w:color="auto" w:fill="FAFAFA"/>
        </w:rPr>
        <w:t xml:space="preserve">(Chart Source: TradingView) </w:t>
      </w:r>
      <w:r w:rsidR="00EC4212">
        <w:rPr>
          <w:rFonts w:ascii="Arial" w:hAnsi="Arial" w:cs="Arial"/>
          <w:bCs/>
          <w:color w:val="0D0D0D"/>
          <w:sz w:val="32"/>
          <w:szCs w:val="32"/>
          <w:shd w:val="clear" w:color="auto" w:fill="FAFAFA"/>
        </w:rPr>
        <w:t>Six</w:t>
      </w:r>
      <w:r w:rsidRPr="00330D36">
        <w:rPr>
          <w:rFonts w:ascii="Arial" w:hAnsi="Arial" w:cs="Arial"/>
          <w:bCs/>
          <w:color w:val="0D0D0D"/>
          <w:sz w:val="32"/>
          <w:szCs w:val="32"/>
          <w:shd w:val="clear" w:color="auto" w:fill="FAFAFA"/>
        </w:rPr>
        <w:t xml:space="preserve">-month Performance of </w:t>
      </w:r>
      <w:r w:rsidR="00EC4212">
        <w:rPr>
          <w:rFonts w:ascii="Arial" w:hAnsi="Arial" w:cs="Arial"/>
          <w:bCs/>
          <w:color w:val="0D0D0D"/>
          <w:sz w:val="32"/>
          <w:szCs w:val="32"/>
          <w:shd w:val="clear" w:color="auto" w:fill="FAFAFA"/>
        </w:rPr>
        <w:t xml:space="preserve">IPH </w:t>
      </w:r>
      <w:r w:rsidRPr="00330D36">
        <w:rPr>
          <w:rFonts w:ascii="Arial" w:hAnsi="Arial" w:cs="Arial"/>
          <w:bCs/>
          <w:color w:val="0D0D0D"/>
          <w:sz w:val="32"/>
          <w:szCs w:val="32"/>
          <w:shd w:val="clear" w:color="auto" w:fill="FAFAFA"/>
        </w:rPr>
        <w:t>compared with XAO.</w:t>
      </w:r>
      <w:r w:rsidR="00EC4212">
        <w:rPr>
          <w:rFonts w:ascii="Arial" w:hAnsi="Arial" w:cs="Arial"/>
          <w:bCs/>
          <w:color w:val="0D0D0D"/>
          <w:sz w:val="32"/>
          <w:szCs w:val="32"/>
          <w:shd w:val="clear" w:color="auto" w:fill="FAFAFA"/>
        </w:rPr>
        <w:t xml:space="preserve"> IPH</w:t>
      </w:r>
      <w:r w:rsidRPr="00330D36">
        <w:rPr>
          <w:rFonts w:ascii="Arial" w:hAnsi="Arial" w:cs="Arial"/>
          <w:bCs/>
          <w:color w:val="0D0D0D"/>
          <w:sz w:val="32"/>
          <w:szCs w:val="32"/>
          <w:shd w:val="clear" w:color="auto" w:fill="FAFAFA"/>
        </w:rPr>
        <w:t xml:space="preserve"> delivered returns of </w:t>
      </w:r>
      <w:r w:rsidR="00EC4212">
        <w:rPr>
          <w:rFonts w:ascii="Arial" w:hAnsi="Arial" w:cs="Arial"/>
          <w:bCs/>
          <w:color w:val="0D0D0D"/>
          <w:sz w:val="32"/>
          <w:szCs w:val="32"/>
          <w:shd w:val="clear" w:color="auto" w:fill="FAFAFA"/>
        </w:rPr>
        <w:t>4.4</w:t>
      </w:r>
      <w:r w:rsidRPr="00330D36">
        <w:rPr>
          <w:rFonts w:ascii="Arial" w:hAnsi="Arial" w:cs="Arial"/>
          <w:bCs/>
          <w:color w:val="0D0D0D"/>
          <w:sz w:val="32"/>
          <w:szCs w:val="32"/>
          <w:shd w:val="clear" w:color="auto" w:fill="FAFAFA"/>
        </w:rPr>
        <w:t xml:space="preserve">% in comparison of </w:t>
      </w:r>
      <w:r w:rsidR="00EC4212">
        <w:rPr>
          <w:rFonts w:ascii="Arial" w:hAnsi="Arial" w:cs="Arial"/>
          <w:bCs/>
          <w:color w:val="0D0D0D"/>
          <w:sz w:val="32"/>
          <w:szCs w:val="32"/>
          <w:shd w:val="clear" w:color="auto" w:fill="FAFAFA"/>
        </w:rPr>
        <w:t>-3.46</w:t>
      </w:r>
      <w:r w:rsidRPr="00330D36">
        <w:rPr>
          <w:rFonts w:ascii="Arial" w:hAnsi="Arial" w:cs="Arial"/>
          <w:bCs/>
          <w:color w:val="0D0D0D"/>
          <w:sz w:val="32"/>
          <w:szCs w:val="32"/>
          <w:shd w:val="clear" w:color="auto" w:fill="FAFAFA"/>
        </w:rPr>
        <w:t>% by XAO over this period</w:t>
      </w:r>
      <w:r w:rsidR="00F15ED9">
        <w:rPr>
          <w:rFonts w:ascii="Arial" w:hAnsi="Arial" w:cs="Arial"/>
          <w:bCs/>
          <w:color w:val="0D0D0D"/>
          <w:sz w:val="32"/>
          <w:szCs w:val="32"/>
          <w:shd w:val="clear" w:color="auto" w:fill="FAFAFA"/>
        </w:rPr>
        <w:t>.</w:t>
      </w:r>
    </w:p>
    <w:p w14:paraId="27A55E03" w14:textId="77777777" w:rsidR="00F15ED9" w:rsidRPr="00330D36" w:rsidRDefault="00F15ED9" w:rsidP="00F15ED9">
      <w:pPr>
        <w:spacing w:line="259" w:lineRule="auto"/>
        <w:jc w:val="both"/>
        <w:rPr>
          <w:rFonts w:ascii="Arial" w:hAnsi="Arial" w:cs="Arial"/>
          <w:bCs/>
          <w:color w:val="0D0D0D"/>
          <w:sz w:val="32"/>
          <w:szCs w:val="32"/>
          <w:shd w:val="clear" w:color="auto" w:fill="FAFAFA"/>
        </w:rPr>
      </w:pPr>
    </w:p>
    <w:p w14:paraId="6D57CDCD" w14:textId="77777777" w:rsidR="00905AA1" w:rsidRDefault="005F77B4" w:rsidP="00F15ED9">
      <w:pPr>
        <w:spacing w:after="240" w:line="259" w:lineRule="auto"/>
        <w:jc w:val="both"/>
        <w:rPr>
          <w:rFonts w:ascii="Arial" w:hAnsi="Arial"/>
          <w:sz w:val="32"/>
          <w:szCs w:val="32"/>
          <w:lang w:val="en-IN"/>
        </w:rPr>
      </w:pPr>
      <w:r>
        <w:rPr>
          <w:rFonts w:ascii="Arial" w:hAnsi="Arial" w:cs="Arial"/>
          <w:b/>
          <w:bCs/>
          <w:color w:val="000000"/>
          <w:sz w:val="32"/>
          <w:szCs w:val="32"/>
          <w:shd w:val="clear" w:color="auto" w:fill="FFFFFF"/>
        </w:rPr>
        <w:t>From the Company Reports:</w:t>
      </w:r>
    </w:p>
    <w:p w14:paraId="67A05F7A" w14:textId="44EA3535" w:rsidR="00CF45EA" w:rsidRDefault="00CF45EA" w:rsidP="00F15ED9">
      <w:pPr>
        <w:spacing w:line="259" w:lineRule="auto"/>
        <w:jc w:val="both"/>
        <w:rPr>
          <w:rFonts w:ascii="Arial" w:hAnsi="Arial"/>
          <w:sz w:val="32"/>
          <w:szCs w:val="32"/>
          <w:lang w:val="en-IN"/>
        </w:rPr>
      </w:pPr>
      <w:r w:rsidRPr="00CF45EA">
        <w:rPr>
          <w:rFonts w:ascii="Arial" w:hAnsi="Arial"/>
          <w:sz w:val="32"/>
          <w:szCs w:val="32"/>
          <w:lang w:val="en-IN"/>
        </w:rPr>
        <w:t>IPH Limited (ASX: IPH)</w:t>
      </w:r>
      <w:r w:rsidR="00E3209C">
        <w:rPr>
          <w:rFonts w:ascii="Arial" w:hAnsi="Arial"/>
          <w:sz w:val="32"/>
          <w:szCs w:val="32"/>
          <w:lang w:val="en-IN"/>
        </w:rPr>
        <w:t>,</w:t>
      </w:r>
      <w:r w:rsidRPr="00CF45EA">
        <w:rPr>
          <w:rFonts w:ascii="Arial" w:hAnsi="Arial"/>
          <w:sz w:val="32"/>
          <w:szCs w:val="32"/>
          <w:lang w:val="en-IN"/>
        </w:rPr>
        <w:t xml:space="preserve"> on 19 February 2026</w:t>
      </w:r>
      <w:r w:rsidR="00E3209C">
        <w:rPr>
          <w:rFonts w:ascii="Arial" w:hAnsi="Arial"/>
          <w:sz w:val="32"/>
          <w:szCs w:val="32"/>
          <w:lang w:val="en-IN"/>
        </w:rPr>
        <w:t>,</w:t>
      </w:r>
      <w:r w:rsidRPr="00CF45EA">
        <w:rPr>
          <w:rFonts w:ascii="Arial" w:hAnsi="Arial"/>
          <w:sz w:val="32"/>
          <w:szCs w:val="32"/>
          <w:lang w:val="en-IN"/>
        </w:rPr>
        <w:t xml:space="preserve"> announced its HY26 results which was led by a strong turnaround in Canada and a return to growth across Asia. Management said higher scale and broader geographic diversification have made the business stronger with 58% of underlying EBITDA now generated outside the Australia and New Zealand. The company also </w:t>
      </w:r>
      <w:r w:rsidR="00733CB7">
        <w:rPr>
          <w:rFonts w:ascii="Arial" w:hAnsi="Arial"/>
          <w:sz w:val="32"/>
          <w:szCs w:val="32"/>
          <w:lang w:val="en-IN"/>
        </w:rPr>
        <w:t>distributed</w:t>
      </w:r>
      <w:r w:rsidRPr="00CF45EA">
        <w:rPr>
          <w:rFonts w:ascii="Arial" w:hAnsi="Arial"/>
          <w:sz w:val="32"/>
          <w:szCs w:val="32"/>
          <w:lang w:val="en-IN"/>
        </w:rPr>
        <w:t xml:space="preserve"> an interim dividend of 19 cents per share which was up 11.8% year-on-year.</w:t>
      </w:r>
    </w:p>
    <w:p w14:paraId="716D1428" w14:textId="478A67CB" w:rsidR="00936854" w:rsidRDefault="00936854" w:rsidP="00F15ED9">
      <w:pPr>
        <w:spacing w:line="259" w:lineRule="auto"/>
        <w:jc w:val="both"/>
        <w:rPr>
          <w:rFonts w:ascii="Arial" w:hAnsi="Arial"/>
          <w:sz w:val="32"/>
          <w:szCs w:val="32"/>
          <w:lang w:val="en-IN"/>
        </w:rPr>
      </w:pPr>
      <w:r w:rsidRPr="00936854">
        <w:rPr>
          <w:rFonts w:ascii="Arial" w:hAnsi="Arial"/>
          <w:noProof/>
          <w:sz w:val="32"/>
          <w:szCs w:val="32"/>
          <w:lang w:val="en-IN"/>
        </w:rPr>
        <w:drawing>
          <wp:inline distT="0" distB="0" distL="0" distR="0" wp14:anchorId="0DE6B443" wp14:editId="6809AB41">
            <wp:extent cx="5274310" cy="2847975"/>
            <wp:effectExtent l="0" t="0" r="2540" b="9525"/>
            <wp:docPr id="2137262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2847975"/>
                    </a:xfrm>
                    <a:prstGeom prst="rect">
                      <a:avLst/>
                    </a:prstGeom>
                    <a:noFill/>
                    <a:ln>
                      <a:noFill/>
                    </a:ln>
                  </pic:spPr>
                </pic:pic>
              </a:graphicData>
            </a:graphic>
          </wp:inline>
        </w:drawing>
      </w:r>
    </w:p>
    <w:p w14:paraId="5F93C3FE" w14:textId="6929CD67" w:rsidR="00936854" w:rsidRPr="00CF45EA" w:rsidRDefault="00936854" w:rsidP="00F15ED9">
      <w:pPr>
        <w:spacing w:after="240" w:line="259" w:lineRule="auto"/>
        <w:jc w:val="both"/>
        <w:rPr>
          <w:rFonts w:ascii="Arial" w:hAnsi="Arial"/>
          <w:sz w:val="32"/>
          <w:szCs w:val="32"/>
          <w:lang w:val="en-IN"/>
        </w:rPr>
      </w:pPr>
      <w:r>
        <w:rPr>
          <w:rFonts w:ascii="Arial" w:hAnsi="Arial"/>
          <w:sz w:val="32"/>
          <w:szCs w:val="32"/>
          <w:lang w:val="en-IN"/>
        </w:rPr>
        <w:lastRenderedPageBreak/>
        <w:t>(Graphic Source: Company Report)</w:t>
      </w:r>
    </w:p>
    <w:p w14:paraId="3AAF4E38" w14:textId="4AD7E525" w:rsidR="00CF45EA" w:rsidRDefault="00CF45EA" w:rsidP="00F15ED9">
      <w:pPr>
        <w:spacing w:line="259" w:lineRule="auto"/>
        <w:jc w:val="both"/>
        <w:rPr>
          <w:rFonts w:ascii="Arial" w:hAnsi="Arial"/>
          <w:sz w:val="32"/>
          <w:szCs w:val="32"/>
          <w:lang w:val="en-IN"/>
        </w:rPr>
      </w:pPr>
      <w:r w:rsidRPr="00CF45EA">
        <w:rPr>
          <w:rFonts w:ascii="Arial" w:hAnsi="Arial"/>
          <w:sz w:val="32"/>
          <w:szCs w:val="32"/>
          <w:lang w:val="en-IN"/>
        </w:rPr>
        <w:t>Key developments in the period included further integration gains from the Bereskin &amp; Parr acquisition in Canada where IPH has built a market-leading position and now earns more than one-third of group underlying EBITDA from that region. In Asia, the company reported better traction outside Singapore as patent filings excluding Singapore rose 7.3% while four countries recorded double-digit growth led by Hong Kong.</w:t>
      </w:r>
    </w:p>
    <w:p w14:paraId="2C94EBC0" w14:textId="468C4F5B" w:rsidR="007D1594" w:rsidRPr="00CF45EA" w:rsidRDefault="007D1594" w:rsidP="00F15ED9">
      <w:pPr>
        <w:spacing w:line="259" w:lineRule="auto"/>
        <w:jc w:val="both"/>
        <w:rPr>
          <w:rFonts w:ascii="Arial" w:hAnsi="Arial"/>
          <w:sz w:val="32"/>
          <w:szCs w:val="32"/>
          <w:lang w:val="en-IN"/>
        </w:rPr>
      </w:pPr>
      <w:r w:rsidRPr="007D1594">
        <w:rPr>
          <w:rFonts w:ascii="Arial" w:hAnsi="Arial"/>
          <w:noProof/>
          <w:sz w:val="32"/>
          <w:szCs w:val="32"/>
          <w:lang w:val="en-IN"/>
        </w:rPr>
        <w:drawing>
          <wp:inline distT="0" distB="0" distL="0" distR="0" wp14:anchorId="1151EB10" wp14:editId="502F7E34">
            <wp:extent cx="5274310" cy="2727325"/>
            <wp:effectExtent l="0" t="0" r="2540" b="0"/>
            <wp:docPr id="13733657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727325"/>
                    </a:xfrm>
                    <a:prstGeom prst="rect">
                      <a:avLst/>
                    </a:prstGeom>
                    <a:noFill/>
                    <a:ln>
                      <a:noFill/>
                    </a:ln>
                  </pic:spPr>
                </pic:pic>
              </a:graphicData>
            </a:graphic>
          </wp:inline>
        </w:drawing>
      </w:r>
    </w:p>
    <w:p w14:paraId="23FF79E2" w14:textId="3A2C4A69" w:rsidR="007D1594" w:rsidRDefault="007D1594" w:rsidP="00F15ED9">
      <w:pPr>
        <w:spacing w:after="240" w:line="259" w:lineRule="auto"/>
        <w:jc w:val="both"/>
        <w:rPr>
          <w:rFonts w:ascii="Arial" w:hAnsi="Arial"/>
          <w:sz w:val="32"/>
          <w:szCs w:val="32"/>
          <w:lang w:val="en-IN"/>
        </w:rPr>
      </w:pPr>
      <w:r>
        <w:rPr>
          <w:rFonts w:ascii="Arial" w:hAnsi="Arial"/>
          <w:sz w:val="32"/>
          <w:szCs w:val="32"/>
          <w:lang w:val="en-IN"/>
        </w:rPr>
        <w:t>(Graphic Source: Company Report)</w:t>
      </w:r>
    </w:p>
    <w:p w14:paraId="1C899830" w14:textId="2057D77A" w:rsidR="00CF45EA" w:rsidRDefault="00CF45EA" w:rsidP="00F15ED9">
      <w:pPr>
        <w:spacing w:line="259" w:lineRule="auto"/>
        <w:jc w:val="both"/>
        <w:rPr>
          <w:rFonts w:ascii="Arial" w:hAnsi="Arial"/>
          <w:sz w:val="32"/>
          <w:szCs w:val="32"/>
          <w:lang w:val="en-IN"/>
        </w:rPr>
      </w:pPr>
      <w:r w:rsidRPr="00CF45EA">
        <w:rPr>
          <w:rFonts w:ascii="Arial" w:hAnsi="Arial"/>
          <w:sz w:val="32"/>
          <w:szCs w:val="32"/>
          <w:lang w:val="en-IN"/>
        </w:rPr>
        <w:t>Management also refinanced $210 million of loan facilities through to December 2028 at better pricing. It also launched a new on-market buy-back program for up to 12.2 million shares from March 2026. IPH has around 1,700 employees while servicing 26 IP jurisdictions and handling an estimated 33,000+ annual patent filings alongside 15,000+ trade mark filings.</w:t>
      </w:r>
    </w:p>
    <w:p w14:paraId="42D7DD9D" w14:textId="77777777" w:rsidR="00F15ED9" w:rsidRDefault="00F15ED9" w:rsidP="00F15ED9">
      <w:pPr>
        <w:spacing w:line="259" w:lineRule="auto"/>
        <w:jc w:val="both"/>
        <w:rPr>
          <w:rFonts w:ascii="Arial" w:hAnsi="Arial"/>
          <w:sz w:val="32"/>
          <w:szCs w:val="32"/>
          <w:lang w:val="en-IN"/>
        </w:rPr>
      </w:pPr>
    </w:p>
    <w:p w14:paraId="5BE00228" w14:textId="524E2FB8" w:rsidR="001032E8" w:rsidRDefault="005F77B4" w:rsidP="00F15ED9">
      <w:pPr>
        <w:spacing w:after="240" w:line="259" w:lineRule="auto"/>
        <w:jc w:val="both"/>
        <w:rPr>
          <w:rFonts w:ascii="Arial" w:hAnsi="Arial"/>
          <w:b/>
          <w:bCs/>
          <w:sz w:val="32"/>
          <w:szCs w:val="32"/>
          <w:lang w:val="en-IN"/>
        </w:rPr>
      </w:pPr>
      <w:r>
        <w:rPr>
          <w:rFonts w:ascii="Arial" w:hAnsi="Arial"/>
          <w:b/>
          <w:bCs/>
          <w:sz w:val="32"/>
          <w:szCs w:val="32"/>
          <w:lang w:val="en-IN"/>
        </w:rPr>
        <w:t>Financial:</w:t>
      </w:r>
    </w:p>
    <w:p w14:paraId="3BBF979E" w14:textId="5C3FD9F5" w:rsidR="001032E8" w:rsidRDefault="00E62248" w:rsidP="00F15ED9">
      <w:pPr>
        <w:spacing w:line="259" w:lineRule="auto"/>
        <w:jc w:val="both"/>
      </w:pPr>
      <w:r w:rsidRPr="00F15ED9">
        <w:rPr>
          <w:rFonts w:ascii="Arial" w:hAnsi="Arial" w:cs="Arial"/>
          <w:noProof/>
          <w:sz w:val="32"/>
          <w:szCs w:val="32"/>
        </w:rPr>
        <w:lastRenderedPageBreak/>
        <w:drawing>
          <wp:inline distT="0" distB="0" distL="0" distR="0" wp14:anchorId="3AC4EA37" wp14:editId="50D948FC">
            <wp:extent cx="5274310" cy="2384425"/>
            <wp:effectExtent l="0" t="0" r="2540" b="0"/>
            <wp:docPr id="10297262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384425"/>
                    </a:xfrm>
                    <a:prstGeom prst="rect">
                      <a:avLst/>
                    </a:prstGeom>
                    <a:noFill/>
                    <a:ln>
                      <a:noFill/>
                    </a:ln>
                  </pic:spPr>
                </pic:pic>
              </a:graphicData>
            </a:graphic>
          </wp:inline>
        </w:drawing>
      </w:r>
    </w:p>
    <w:p w14:paraId="40284F22" w14:textId="77777777" w:rsidR="001032E8" w:rsidRDefault="001032E8" w:rsidP="004F39B6">
      <w:pPr>
        <w:jc w:val="both"/>
      </w:pPr>
    </w:p>
    <w:p w14:paraId="657090CF" w14:textId="15C13C14" w:rsidR="001032E8" w:rsidRDefault="00E62248" w:rsidP="00F15ED9">
      <w:pPr>
        <w:spacing w:line="259" w:lineRule="auto"/>
        <w:jc w:val="both"/>
      </w:pPr>
      <w:r w:rsidRPr="00F15ED9">
        <w:rPr>
          <w:rFonts w:ascii="Arial" w:hAnsi="Arial" w:cs="Arial"/>
          <w:noProof/>
          <w:sz w:val="32"/>
          <w:szCs w:val="32"/>
        </w:rPr>
        <w:drawing>
          <wp:inline distT="0" distB="0" distL="0" distR="0" wp14:anchorId="028F3617" wp14:editId="6A300FC1">
            <wp:extent cx="5274310" cy="1567815"/>
            <wp:effectExtent l="0" t="0" r="2540" b="0"/>
            <wp:docPr id="13032028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1567815"/>
                    </a:xfrm>
                    <a:prstGeom prst="rect">
                      <a:avLst/>
                    </a:prstGeom>
                    <a:noFill/>
                    <a:ln>
                      <a:noFill/>
                    </a:ln>
                  </pic:spPr>
                </pic:pic>
              </a:graphicData>
            </a:graphic>
          </wp:inline>
        </w:drawing>
      </w:r>
    </w:p>
    <w:p w14:paraId="2EF9EB16" w14:textId="77777777" w:rsidR="001032E8" w:rsidRDefault="005F77B4" w:rsidP="00E3209C">
      <w:pPr>
        <w:spacing w:after="240" w:line="259" w:lineRule="auto"/>
        <w:jc w:val="both"/>
        <w:rPr>
          <w:rFonts w:ascii="Arial" w:hAnsi="Arial" w:cs="Arial"/>
          <w:color w:val="000000"/>
          <w:sz w:val="32"/>
          <w:szCs w:val="32"/>
          <w:shd w:val="clear" w:color="auto" w:fill="FFFFFF"/>
        </w:rPr>
      </w:pPr>
      <w:r>
        <w:rPr>
          <w:rFonts w:ascii="Arial" w:hAnsi="Arial" w:cs="Arial"/>
          <w:color w:val="000000"/>
          <w:sz w:val="32"/>
          <w:szCs w:val="32"/>
          <w:shd w:val="clear" w:color="auto" w:fill="FFFFFF"/>
        </w:rPr>
        <w:t>(Data Source: Refinitiv, Thomson Reuters, Graphic Source: Company Reports, Veye Research)</w:t>
      </w:r>
    </w:p>
    <w:p w14:paraId="326E7BEA" w14:textId="7B7B1827" w:rsidR="00AC09C9" w:rsidRDefault="006F4533" w:rsidP="00E3209C">
      <w:pPr>
        <w:spacing w:line="259" w:lineRule="auto"/>
        <w:jc w:val="both"/>
        <w:rPr>
          <w:rFonts w:ascii="Arial" w:hAnsi="Arial"/>
          <w:sz w:val="32"/>
          <w:szCs w:val="32"/>
          <w:lang w:val="en-IN"/>
        </w:rPr>
      </w:pPr>
      <w:r w:rsidRPr="006F4533">
        <w:rPr>
          <w:rFonts w:ascii="Arial" w:hAnsi="Arial"/>
          <w:sz w:val="32"/>
          <w:szCs w:val="32"/>
          <w:lang w:val="en-IN"/>
        </w:rPr>
        <w:t xml:space="preserve">IPH’s financial trajectory has been very impressive as Revenue from business activities rose from $260.7 million in June 2023 to $363.9 million by December 2025 which </w:t>
      </w:r>
      <w:r w:rsidR="007F50EA">
        <w:rPr>
          <w:rFonts w:ascii="Arial" w:hAnsi="Arial"/>
          <w:sz w:val="32"/>
          <w:szCs w:val="32"/>
          <w:lang w:val="en-IN"/>
        </w:rPr>
        <w:t xml:space="preserve">is helped by </w:t>
      </w:r>
      <w:r w:rsidRPr="006F4533">
        <w:rPr>
          <w:rFonts w:ascii="Arial" w:hAnsi="Arial"/>
          <w:sz w:val="32"/>
          <w:szCs w:val="32"/>
          <w:lang w:val="en-IN"/>
        </w:rPr>
        <w:t>acquisition benefits, market expansion and resilient client demand for intellectual property services. Adjusted EBITDA moved higher from $89.</w:t>
      </w:r>
      <w:r w:rsidR="00081E16">
        <w:rPr>
          <w:rFonts w:ascii="Arial" w:hAnsi="Arial"/>
          <w:sz w:val="32"/>
          <w:szCs w:val="32"/>
          <w:lang w:val="en-IN"/>
        </w:rPr>
        <w:t>65</w:t>
      </w:r>
      <w:r w:rsidRPr="006F4533">
        <w:rPr>
          <w:rFonts w:ascii="Arial" w:hAnsi="Arial"/>
          <w:sz w:val="32"/>
          <w:szCs w:val="32"/>
          <w:lang w:val="en-IN"/>
        </w:rPr>
        <w:t xml:space="preserve"> million to $107.1 million over the same period. The company has continued to generate solid </w:t>
      </w:r>
      <w:r w:rsidR="00962134">
        <w:rPr>
          <w:rFonts w:ascii="Arial" w:hAnsi="Arial"/>
          <w:sz w:val="32"/>
          <w:szCs w:val="32"/>
          <w:lang w:val="en-IN"/>
        </w:rPr>
        <w:t xml:space="preserve">EBITDA </w:t>
      </w:r>
      <w:r w:rsidRPr="006F4533">
        <w:rPr>
          <w:rFonts w:ascii="Arial" w:hAnsi="Arial"/>
          <w:sz w:val="32"/>
          <w:szCs w:val="32"/>
          <w:lang w:val="en-IN"/>
        </w:rPr>
        <w:t>margins near the high-20% range which is attractive for a professional services business. Operating cash flow also increased from $43.9 million to $70.9 million while capital expenditure remained low. Overall, the numbers suggest IPH is</w:t>
      </w:r>
      <w:r w:rsidR="000D47C3">
        <w:rPr>
          <w:rFonts w:ascii="Arial" w:hAnsi="Arial"/>
          <w:sz w:val="32"/>
          <w:szCs w:val="32"/>
          <w:lang w:val="en-IN"/>
        </w:rPr>
        <w:t xml:space="preserve"> </w:t>
      </w:r>
      <w:r w:rsidRPr="006F4533">
        <w:rPr>
          <w:rFonts w:ascii="Arial" w:hAnsi="Arial"/>
          <w:sz w:val="32"/>
          <w:szCs w:val="32"/>
          <w:lang w:val="en-IN"/>
        </w:rPr>
        <w:t>compounding into a larger and more efficient business with room to rewar</w:t>
      </w:r>
      <w:r w:rsidR="000D47C3">
        <w:rPr>
          <w:rFonts w:ascii="Arial" w:hAnsi="Arial"/>
          <w:sz w:val="32"/>
          <w:szCs w:val="32"/>
          <w:lang w:val="en-IN"/>
        </w:rPr>
        <w:t>d</w:t>
      </w:r>
      <w:r w:rsidRPr="006F4533">
        <w:rPr>
          <w:rFonts w:ascii="Arial" w:hAnsi="Arial"/>
          <w:sz w:val="32"/>
          <w:szCs w:val="32"/>
          <w:lang w:val="en-IN"/>
        </w:rPr>
        <w:t xml:space="preserve"> shareholders.</w:t>
      </w:r>
    </w:p>
    <w:p w14:paraId="5C1FE2A4" w14:textId="77777777" w:rsidR="006F4533" w:rsidRPr="006D7057" w:rsidRDefault="006F4533" w:rsidP="004F39B6">
      <w:pPr>
        <w:jc w:val="both"/>
        <w:rPr>
          <w:rFonts w:ascii="Arial" w:hAnsi="Arial"/>
          <w:sz w:val="32"/>
          <w:szCs w:val="32"/>
          <w:lang w:val="en-IN"/>
        </w:rPr>
      </w:pPr>
    </w:p>
    <w:p w14:paraId="53E825E9" w14:textId="7EE9AA68" w:rsidR="006D7057" w:rsidRDefault="00AC09C9" w:rsidP="00E3209C">
      <w:pPr>
        <w:spacing w:after="240" w:line="259" w:lineRule="auto"/>
        <w:jc w:val="both"/>
        <w:rPr>
          <w:rFonts w:ascii="Arial" w:hAnsi="Arial"/>
          <w:b/>
          <w:bCs/>
          <w:sz w:val="32"/>
          <w:szCs w:val="32"/>
          <w:lang w:val="en-IN"/>
        </w:rPr>
      </w:pPr>
      <w:r>
        <w:rPr>
          <w:rFonts w:ascii="Arial" w:hAnsi="Arial"/>
          <w:b/>
          <w:bCs/>
          <w:sz w:val="32"/>
          <w:szCs w:val="32"/>
          <w:lang w:val="en-IN"/>
        </w:rPr>
        <w:t>Financial Forecasting:</w:t>
      </w:r>
    </w:p>
    <w:p w14:paraId="5251D054" w14:textId="1FE7BA7F" w:rsidR="00191B2B" w:rsidRDefault="00BF3A5F" w:rsidP="00E3209C">
      <w:pPr>
        <w:spacing w:line="259" w:lineRule="auto"/>
        <w:jc w:val="both"/>
        <w:rPr>
          <w:rFonts w:ascii="Arial" w:hAnsi="Arial"/>
          <w:b/>
          <w:bCs/>
          <w:sz w:val="32"/>
          <w:szCs w:val="32"/>
          <w:lang w:val="en-IN"/>
        </w:rPr>
      </w:pPr>
      <w:r w:rsidRPr="00BF3A5F">
        <w:rPr>
          <w:rFonts w:ascii="Arial" w:hAnsi="Arial"/>
          <w:b/>
          <w:bCs/>
          <w:noProof/>
          <w:sz w:val="32"/>
          <w:szCs w:val="32"/>
          <w:lang w:val="en-IN"/>
        </w:rPr>
        <w:lastRenderedPageBreak/>
        <w:drawing>
          <wp:inline distT="0" distB="0" distL="0" distR="0" wp14:anchorId="61804B26" wp14:editId="1DDBBBF0">
            <wp:extent cx="5274310" cy="1014730"/>
            <wp:effectExtent l="0" t="0" r="2540" b="0"/>
            <wp:docPr id="3942702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1014730"/>
                    </a:xfrm>
                    <a:prstGeom prst="rect">
                      <a:avLst/>
                    </a:prstGeom>
                    <a:noFill/>
                    <a:ln>
                      <a:noFill/>
                    </a:ln>
                  </pic:spPr>
                </pic:pic>
              </a:graphicData>
            </a:graphic>
          </wp:inline>
        </w:drawing>
      </w:r>
    </w:p>
    <w:p w14:paraId="03F73782" w14:textId="1CF54761" w:rsidR="00E20DCF" w:rsidRPr="00E3209C" w:rsidRDefault="00CB5A0B" w:rsidP="00E3209C">
      <w:pPr>
        <w:spacing w:after="240" w:line="259" w:lineRule="auto"/>
        <w:jc w:val="both"/>
        <w:rPr>
          <w:rFonts w:ascii="Arial" w:hAnsi="Arial"/>
          <w:b/>
          <w:bCs/>
          <w:sz w:val="32"/>
          <w:szCs w:val="32"/>
          <w:lang w:val="en-IN"/>
        </w:rPr>
      </w:pPr>
      <w:r w:rsidRPr="00CB5A0B">
        <w:rPr>
          <w:rFonts w:ascii="Arial" w:hAnsi="Arial"/>
          <w:b/>
          <w:bCs/>
          <w:noProof/>
          <w:sz w:val="32"/>
          <w:szCs w:val="32"/>
          <w:lang w:val="en-IN"/>
        </w:rPr>
        <w:drawing>
          <wp:inline distT="0" distB="0" distL="0" distR="0" wp14:anchorId="289662E7" wp14:editId="3533C9CD">
            <wp:extent cx="5274310" cy="1572260"/>
            <wp:effectExtent l="0" t="0" r="2540" b="8890"/>
            <wp:docPr id="16284174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1572260"/>
                    </a:xfrm>
                    <a:prstGeom prst="rect">
                      <a:avLst/>
                    </a:prstGeom>
                    <a:noFill/>
                    <a:ln>
                      <a:noFill/>
                    </a:ln>
                  </pic:spPr>
                </pic:pic>
              </a:graphicData>
            </a:graphic>
          </wp:inline>
        </w:drawing>
      </w:r>
      <w:r w:rsidR="00191B2B">
        <w:rPr>
          <w:rFonts w:ascii="Arial" w:hAnsi="Arial" w:cs="Arial"/>
          <w:color w:val="000000"/>
          <w:sz w:val="32"/>
          <w:szCs w:val="32"/>
          <w:shd w:val="clear" w:color="auto" w:fill="FFFFFF"/>
        </w:rPr>
        <w:t>(Data Source: Refinitiv, Thomson Reuters, Graphic Source: Company Reports, Veye Research)</w:t>
      </w:r>
    </w:p>
    <w:p w14:paraId="1C09958C" w14:textId="2A893CDE" w:rsidR="00E20DCF" w:rsidRDefault="00E20DCF" w:rsidP="00E3209C">
      <w:pPr>
        <w:spacing w:line="259" w:lineRule="auto"/>
        <w:jc w:val="both"/>
        <w:rPr>
          <w:rFonts w:ascii="Arial" w:hAnsi="Arial" w:cs="Arial"/>
          <w:color w:val="000000"/>
          <w:sz w:val="32"/>
          <w:szCs w:val="32"/>
          <w:shd w:val="clear" w:color="auto" w:fill="FFFFFF"/>
        </w:rPr>
      </w:pPr>
      <w:r w:rsidRPr="00E20DCF">
        <w:rPr>
          <w:rFonts w:ascii="Arial" w:hAnsi="Arial" w:cs="Arial"/>
          <w:color w:val="000000"/>
          <w:sz w:val="32"/>
          <w:szCs w:val="32"/>
          <w:shd w:val="clear" w:color="auto" w:fill="FFFFFF"/>
        </w:rPr>
        <w:t>IPH’s forward financial outlook is positive with forecasts suggesting the company could grow earnings as well as returns on capital. Revenue is projected to rise to $747.6 million in FY27 and $760.4 million in FY28 which points to steady top-line momentum supported by Canada integration benefits, growth in Asian filings and better operating conditions across key markets. Net income is expected to increase to $92.8 million in FY27 and $96.</w:t>
      </w:r>
      <w:r w:rsidR="00F4256D">
        <w:rPr>
          <w:rFonts w:ascii="Arial" w:hAnsi="Arial" w:cs="Arial"/>
          <w:color w:val="000000"/>
          <w:sz w:val="32"/>
          <w:szCs w:val="32"/>
          <w:shd w:val="clear" w:color="auto" w:fill="FFFFFF"/>
        </w:rPr>
        <w:t>25</w:t>
      </w:r>
      <w:r w:rsidRPr="00E20DCF">
        <w:rPr>
          <w:rFonts w:ascii="Arial" w:hAnsi="Arial" w:cs="Arial"/>
          <w:color w:val="000000"/>
          <w:sz w:val="32"/>
          <w:szCs w:val="32"/>
          <w:shd w:val="clear" w:color="auto" w:fill="FFFFFF"/>
        </w:rPr>
        <w:t xml:space="preserve"> million in FY28 and this suggests margins may improve </w:t>
      </w:r>
      <w:r w:rsidR="001B45BB">
        <w:rPr>
          <w:rFonts w:ascii="Arial" w:hAnsi="Arial" w:cs="Arial"/>
          <w:color w:val="000000"/>
          <w:sz w:val="32"/>
          <w:szCs w:val="32"/>
          <w:shd w:val="clear" w:color="auto" w:fill="FFFFFF"/>
        </w:rPr>
        <w:t xml:space="preserve">with the help of </w:t>
      </w:r>
      <w:r w:rsidRPr="00E20DCF">
        <w:rPr>
          <w:rFonts w:ascii="Arial" w:hAnsi="Arial" w:cs="Arial"/>
          <w:color w:val="000000"/>
          <w:sz w:val="32"/>
          <w:szCs w:val="32"/>
          <w:shd w:val="clear" w:color="auto" w:fill="FFFFFF"/>
        </w:rPr>
        <w:t>technology adoption and scale benefits. Return on equity is estimated to improve from 17.9% in FY26 to 18.</w:t>
      </w:r>
      <w:r w:rsidR="000851EE">
        <w:rPr>
          <w:rFonts w:ascii="Arial" w:hAnsi="Arial" w:cs="Arial"/>
          <w:color w:val="000000"/>
          <w:sz w:val="32"/>
          <w:szCs w:val="32"/>
          <w:shd w:val="clear" w:color="auto" w:fill="FFFFFF"/>
        </w:rPr>
        <w:t>46</w:t>
      </w:r>
      <w:r w:rsidRPr="00E20DCF">
        <w:rPr>
          <w:rFonts w:ascii="Arial" w:hAnsi="Arial" w:cs="Arial"/>
          <w:color w:val="000000"/>
          <w:sz w:val="32"/>
          <w:szCs w:val="32"/>
          <w:shd w:val="clear" w:color="auto" w:fill="FFFFFF"/>
        </w:rPr>
        <w:t xml:space="preserve">% in FY27 and 19.9% in FY28 which is a strong sign that capital </w:t>
      </w:r>
      <w:r w:rsidR="00102E16">
        <w:rPr>
          <w:rFonts w:ascii="Arial" w:hAnsi="Arial" w:cs="Arial"/>
          <w:color w:val="000000"/>
          <w:sz w:val="32"/>
          <w:szCs w:val="32"/>
          <w:shd w:val="clear" w:color="auto" w:fill="FFFFFF"/>
        </w:rPr>
        <w:t>will be</w:t>
      </w:r>
      <w:r w:rsidRPr="00E20DCF">
        <w:rPr>
          <w:rFonts w:ascii="Arial" w:hAnsi="Arial" w:cs="Arial"/>
          <w:color w:val="000000"/>
          <w:sz w:val="32"/>
          <w:szCs w:val="32"/>
          <w:shd w:val="clear" w:color="auto" w:fill="FFFFFF"/>
        </w:rPr>
        <w:t xml:space="preserve"> used productively.</w:t>
      </w:r>
    </w:p>
    <w:p w14:paraId="54F1C108" w14:textId="77777777" w:rsidR="00E3209C" w:rsidRDefault="00E3209C" w:rsidP="00E3209C">
      <w:pPr>
        <w:spacing w:line="259" w:lineRule="auto"/>
        <w:jc w:val="both"/>
        <w:rPr>
          <w:rFonts w:ascii="Arial" w:hAnsi="Arial" w:cs="Arial"/>
          <w:color w:val="000000"/>
          <w:sz w:val="32"/>
          <w:szCs w:val="32"/>
          <w:shd w:val="clear" w:color="auto" w:fill="FFFFFF"/>
        </w:rPr>
      </w:pPr>
    </w:p>
    <w:p w14:paraId="627143FD" w14:textId="1F538514" w:rsidR="00E3209C" w:rsidRPr="00E3209C" w:rsidRDefault="005F77B4" w:rsidP="00E3209C">
      <w:pPr>
        <w:spacing w:after="240"/>
        <w:jc w:val="both"/>
        <w:rPr>
          <w:rFonts w:ascii="Arial" w:hAnsi="Arial"/>
          <w:b/>
          <w:bCs/>
          <w:sz w:val="32"/>
          <w:szCs w:val="32"/>
          <w:lang w:val="en-IN"/>
        </w:rPr>
      </w:pPr>
      <w:r>
        <w:rPr>
          <w:rFonts w:ascii="Arial" w:hAnsi="Arial"/>
          <w:b/>
          <w:bCs/>
          <w:sz w:val="32"/>
          <w:szCs w:val="32"/>
          <w:lang w:val="en-IN"/>
        </w:rPr>
        <w:t>Distribution Profile:</w:t>
      </w:r>
    </w:p>
    <w:p w14:paraId="5A297D88" w14:textId="6818109C" w:rsidR="00FD125A" w:rsidRDefault="002C7EFF" w:rsidP="00E3209C">
      <w:pPr>
        <w:spacing w:line="259" w:lineRule="auto"/>
        <w:jc w:val="both"/>
        <w:rPr>
          <w:rFonts w:ascii="Arial" w:hAnsi="Arial"/>
          <w:b/>
          <w:bCs/>
          <w:sz w:val="32"/>
          <w:szCs w:val="32"/>
          <w:lang w:val="en-IN"/>
        </w:rPr>
      </w:pPr>
      <w:r w:rsidRPr="002C7EFF">
        <w:rPr>
          <w:rFonts w:ascii="Arial" w:hAnsi="Arial"/>
          <w:b/>
          <w:bCs/>
          <w:noProof/>
          <w:sz w:val="32"/>
          <w:szCs w:val="32"/>
          <w:lang w:val="en-IN"/>
        </w:rPr>
        <w:lastRenderedPageBreak/>
        <w:drawing>
          <wp:inline distT="0" distB="0" distL="0" distR="0" wp14:anchorId="6DB24DA9" wp14:editId="4DB30668">
            <wp:extent cx="5274310" cy="2364105"/>
            <wp:effectExtent l="0" t="0" r="2540" b="0"/>
            <wp:docPr id="14572597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364105"/>
                    </a:xfrm>
                    <a:prstGeom prst="rect">
                      <a:avLst/>
                    </a:prstGeom>
                    <a:noFill/>
                    <a:ln>
                      <a:noFill/>
                    </a:ln>
                  </pic:spPr>
                </pic:pic>
              </a:graphicData>
            </a:graphic>
          </wp:inline>
        </w:drawing>
      </w:r>
    </w:p>
    <w:p w14:paraId="13149E94" w14:textId="64E82710" w:rsidR="00FD125A" w:rsidRDefault="004E4C1A" w:rsidP="00E3209C">
      <w:pPr>
        <w:spacing w:line="259" w:lineRule="auto"/>
        <w:jc w:val="both"/>
        <w:rPr>
          <w:rFonts w:ascii="Arial" w:hAnsi="Arial"/>
          <w:b/>
          <w:bCs/>
          <w:noProof/>
          <w:sz w:val="32"/>
          <w:szCs w:val="32"/>
          <w:lang w:val="en-IN"/>
        </w:rPr>
      </w:pPr>
      <w:r w:rsidRPr="004E4C1A">
        <w:rPr>
          <w:rFonts w:ascii="Arial" w:hAnsi="Arial"/>
          <w:b/>
          <w:bCs/>
          <w:noProof/>
          <w:sz w:val="32"/>
          <w:szCs w:val="32"/>
          <w:lang w:val="en-IN"/>
        </w:rPr>
        <w:drawing>
          <wp:inline distT="0" distB="0" distL="0" distR="0" wp14:anchorId="52D8E90E" wp14:editId="0F55C1C4">
            <wp:extent cx="5349452" cy="3190875"/>
            <wp:effectExtent l="0" t="0" r="3810" b="0"/>
            <wp:docPr id="6428383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5389" cy="3194416"/>
                    </a:xfrm>
                    <a:prstGeom prst="rect">
                      <a:avLst/>
                    </a:prstGeom>
                    <a:noFill/>
                    <a:ln>
                      <a:noFill/>
                    </a:ln>
                  </pic:spPr>
                </pic:pic>
              </a:graphicData>
            </a:graphic>
          </wp:inline>
        </w:drawing>
      </w:r>
    </w:p>
    <w:p w14:paraId="5A2DFD43" w14:textId="77777777" w:rsidR="001032E8" w:rsidRDefault="005F77B4" w:rsidP="00E3209C">
      <w:pPr>
        <w:spacing w:after="240" w:line="259" w:lineRule="auto"/>
        <w:jc w:val="both"/>
        <w:rPr>
          <w:rFonts w:ascii="Arial" w:hAnsi="Arial" w:cs="Arial"/>
          <w:color w:val="000000"/>
          <w:sz w:val="32"/>
          <w:szCs w:val="32"/>
          <w:shd w:val="clear" w:color="auto" w:fill="FFFFFF"/>
        </w:rPr>
      </w:pPr>
      <w:r>
        <w:rPr>
          <w:rFonts w:ascii="Arial" w:hAnsi="Arial" w:cs="Arial"/>
          <w:color w:val="000000"/>
          <w:sz w:val="32"/>
          <w:szCs w:val="32"/>
          <w:shd w:val="clear" w:color="auto" w:fill="FFFFFF"/>
        </w:rPr>
        <w:t>(Data Source: Refinitiv, Thomson Reuters, Graphic Source: Company Reports, Veye Research)</w:t>
      </w:r>
    </w:p>
    <w:p w14:paraId="68D00268" w14:textId="77777777" w:rsidR="00E3209C" w:rsidRDefault="008F7E4D" w:rsidP="00E3209C">
      <w:pPr>
        <w:spacing w:line="259" w:lineRule="auto"/>
        <w:jc w:val="both"/>
        <w:rPr>
          <w:rFonts w:ascii="Arial" w:hAnsi="Arial"/>
          <w:sz w:val="32"/>
          <w:szCs w:val="32"/>
          <w:lang w:val="en-IN"/>
        </w:rPr>
      </w:pPr>
      <w:r w:rsidRPr="008F7E4D">
        <w:rPr>
          <w:rFonts w:ascii="Arial" w:hAnsi="Arial"/>
          <w:sz w:val="32"/>
          <w:szCs w:val="32"/>
          <w:lang w:val="en-IN"/>
        </w:rPr>
        <w:t>IPH has a very good dividend profile as it has consistently distributed partially franked dividends on a semi-annual basis which shows management’s commitment to returning capital to shareholders. Over the past decade, the payout has almost doubled backed by steady earnings growth and disciplined capital management. The current annual dividend yield is 10.81%</w:t>
      </w:r>
      <w:r w:rsidR="00E364CA">
        <w:rPr>
          <w:rFonts w:ascii="Arial" w:hAnsi="Arial"/>
          <w:sz w:val="32"/>
          <w:szCs w:val="32"/>
          <w:lang w:val="en-IN"/>
        </w:rPr>
        <w:t xml:space="preserve"> </w:t>
      </w:r>
      <w:r w:rsidRPr="008F7E4D">
        <w:rPr>
          <w:rFonts w:ascii="Arial" w:hAnsi="Arial"/>
          <w:sz w:val="32"/>
          <w:szCs w:val="32"/>
          <w:lang w:val="en-IN"/>
        </w:rPr>
        <w:t>which</w:t>
      </w:r>
      <w:r w:rsidR="00E364CA">
        <w:rPr>
          <w:rFonts w:ascii="Arial" w:hAnsi="Arial"/>
          <w:sz w:val="32"/>
          <w:szCs w:val="32"/>
          <w:lang w:val="en-IN"/>
        </w:rPr>
        <w:t xml:space="preserve"> puts</w:t>
      </w:r>
      <w:r w:rsidRPr="008F7E4D">
        <w:rPr>
          <w:rFonts w:ascii="Arial" w:hAnsi="Arial"/>
          <w:sz w:val="32"/>
          <w:szCs w:val="32"/>
          <w:lang w:val="en-IN"/>
        </w:rPr>
        <w:t xml:space="preserve"> it among the best passive income opportunities on the ASX. Forward estimates also indicate the dividend yield </w:t>
      </w:r>
      <w:r w:rsidR="005173F3">
        <w:rPr>
          <w:rFonts w:ascii="Arial" w:hAnsi="Arial"/>
          <w:sz w:val="32"/>
          <w:szCs w:val="32"/>
          <w:lang w:val="en-IN"/>
        </w:rPr>
        <w:t xml:space="preserve">will </w:t>
      </w:r>
      <w:r w:rsidRPr="008F7E4D">
        <w:rPr>
          <w:rFonts w:ascii="Arial" w:hAnsi="Arial"/>
          <w:sz w:val="32"/>
          <w:szCs w:val="32"/>
          <w:lang w:val="en-IN"/>
        </w:rPr>
        <w:t>stay in a healthy range</w:t>
      </w:r>
      <w:r w:rsidR="002173F2">
        <w:rPr>
          <w:rFonts w:ascii="Arial" w:hAnsi="Arial"/>
          <w:sz w:val="32"/>
          <w:szCs w:val="32"/>
          <w:lang w:val="en-IN"/>
        </w:rPr>
        <w:t xml:space="preserve"> of around 10% in the next 2 years.</w:t>
      </w:r>
    </w:p>
    <w:p w14:paraId="0B987E14" w14:textId="77777777" w:rsidR="00E3209C" w:rsidRDefault="00E3209C" w:rsidP="00E3209C">
      <w:pPr>
        <w:spacing w:line="259" w:lineRule="auto"/>
        <w:jc w:val="both"/>
        <w:rPr>
          <w:rFonts w:ascii="Arial" w:hAnsi="Arial"/>
          <w:sz w:val="32"/>
          <w:szCs w:val="32"/>
          <w:lang w:val="en-IN"/>
        </w:rPr>
      </w:pPr>
    </w:p>
    <w:p w14:paraId="25E72B9C" w14:textId="0EF94353" w:rsidR="001032E8" w:rsidRPr="00E3209C" w:rsidRDefault="005F77B4" w:rsidP="00E3209C">
      <w:pPr>
        <w:spacing w:after="240" w:line="259" w:lineRule="auto"/>
        <w:jc w:val="both"/>
        <w:rPr>
          <w:rFonts w:ascii="Arial" w:hAnsi="Arial"/>
          <w:sz w:val="32"/>
          <w:szCs w:val="32"/>
          <w:lang w:val="en-IN"/>
        </w:rPr>
      </w:pPr>
      <w:r>
        <w:rPr>
          <w:rFonts w:ascii="Arial" w:hAnsi="Arial"/>
          <w:b/>
          <w:bCs/>
          <w:sz w:val="32"/>
          <w:szCs w:val="32"/>
          <w:lang w:val="en-IN"/>
        </w:rPr>
        <w:t>Industry Analysis:</w:t>
      </w:r>
    </w:p>
    <w:p w14:paraId="47FBF6ED" w14:textId="216A3948" w:rsidR="0014535B" w:rsidRPr="00E4309C" w:rsidRDefault="00E4309C" w:rsidP="00E3209C">
      <w:pPr>
        <w:spacing w:line="259" w:lineRule="auto"/>
        <w:jc w:val="both"/>
        <w:rPr>
          <w:rFonts w:ascii="Arial" w:hAnsi="Arial"/>
          <w:sz w:val="32"/>
          <w:szCs w:val="32"/>
          <w:lang w:val="en-IN"/>
        </w:rPr>
      </w:pPr>
      <w:r w:rsidRPr="00E4309C">
        <w:rPr>
          <w:rFonts w:ascii="Arial" w:hAnsi="Arial"/>
          <w:sz w:val="32"/>
          <w:szCs w:val="32"/>
          <w:lang w:val="en-IN"/>
        </w:rPr>
        <w:t>The intellectual property services industry is generally a defensive and steadily growing sector because companies need patents, trademarks and legal protection regardless of economic cycles. Demand comes from innovation across technology, pharmaceuticals, AI, semiconductors, consumer brands and cross border trade since new products often need filings in multiple countries. Growth estimates for the industry vary by segment but broader IP services growth is expected at about 7-11% CAGR. For IPH, this creates a favourable environment and the growing complexity of global filings support steady revenue opportunities although volumes can fluctuate by country and economic conditions.</w:t>
      </w:r>
    </w:p>
    <w:p w14:paraId="1EA0438F" w14:textId="77777777" w:rsidR="00E4309C" w:rsidRDefault="00E4309C" w:rsidP="00E3209C">
      <w:pPr>
        <w:spacing w:line="259" w:lineRule="auto"/>
        <w:jc w:val="both"/>
        <w:rPr>
          <w:rFonts w:ascii="Arial" w:hAnsi="Arial"/>
          <w:b/>
          <w:bCs/>
          <w:sz w:val="32"/>
          <w:szCs w:val="32"/>
          <w:lang w:val="en-IN"/>
        </w:rPr>
      </w:pPr>
    </w:p>
    <w:p w14:paraId="401D19BA" w14:textId="77777777" w:rsidR="001032E8" w:rsidRDefault="005F77B4" w:rsidP="00E3209C">
      <w:pPr>
        <w:spacing w:after="240" w:line="259" w:lineRule="auto"/>
        <w:jc w:val="both"/>
        <w:rPr>
          <w:rFonts w:ascii="Arial" w:hAnsi="Arial"/>
          <w:b/>
          <w:bCs/>
          <w:sz w:val="32"/>
          <w:szCs w:val="32"/>
          <w:lang w:val="en-IN"/>
        </w:rPr>
      </w:pPr>
      <w:r>
        <w:rPr>
          <w:rFonts w:ascii="Arial" w:hAnsi="Arial"/>
          <w:b/>
          <w:bCs/>
          <w:sz w:val="32"/>
          <w:szCs w:val="32"/>
          <w:lang w:val="en-IN"/>
        </w:rPr>
        <w:t>Risk Analysis:</w:t>
      </w:r>
    </w:p>
    <w:p w14:paraId="1DF1D7AF" w14:textId="6DF0E517" w:rsidR="00B6584B" w:rsidRDefault="001A561A" w:rsidP="00E3209C">
      <w:pPr>
        <w:spacing w:line="259" w:lineRule="auto"/>
        <w:jc w:val="both"/>
        <w:rPr>
          <w:rFonts w:ascii="Arial" w:hAnsi="Arial"/>
          <w:sz w:val="32"/>
          <w:szCs w:val="32"/>
          <w:lang w:val="en-IN"/>
        </w:rPr>
      </w:pPr>
      <w:r w:rsidRPr="001A561A">
        <w:rPr>
          <w:rFonts w:ascii="Arial" w:hAnsi="Arial"/>
          <w:sz w:val="32"/>
          <w:szCs w:val="32"/>
          <w:lang w:val="en-IN"/>
        </w:rPr>
        <w:t>IPH is exposed to filing volume cycles across major jurisdictions. This is most visible in ANZ where weakness in US-originating PCT applications has weighed on revenue because the group has relatively high exposure to US clients. Competitive pressure and changing client filing patterns in Singapore and other markets may also affect market share. Labour cost inflation may pressure margins and foreign exchange movements also remain important as around 34% of annualised revenue is generated in US dollars.</w:t>
      </w:r>
    </w:p>
    <w:p w14:paraId="7274514D" w14:textId="77777777" w:rsidR="001A561A" w:rsidRDefault="001A561A" w:rsidP="00E3209C">
      <w:pPr>
        <w:spacing w:line="259" w:lineRule="auto"/>
        <w:jc w:val="both"/>
        <w:rPr>
          <w:rFonts w:ascii="Arial" w:hAnsi="Arial"/>
          <w:sz w:val="32"/>
          <w:szCs w:val="32"/>
          <w:lang w:val="en-IN"/>
        </w:rPr>
      </w:pPr>
    </w:p>
    <w:p w14:paraId="4B4A1342" w14:textId="77777777" w:rsidR="001032E8" w:rsidRDefault="005F77B4" w:rsidP="00E3209C">
      <w:pPr>
        <w:spacing w:after="240" w:line="259" w:lineRule="auto"/>
        <w:jc w:val="both"/>
        <w:rPr>
          <w:rFonts w:ascii="Arial" w:hAnsi="Arial" w:cs="Arial"/>
          <w:b/>
          <w:bCs/>
          <w:sz w:val="32"/>
          <w:szCs w:val="32"/>
          <w:lang w:val="en-IN"/>
        </w:rPr>
      </w:pPr>
      <w:r>
        <w:rPr>
          <w:rFonts w:ascii="Arial" w:hAnsi="Arial" w:cs="Arial"/>
          <w:b/>
          <w:bCs/>
          <w:sz w:val="32"/>
          <w:szCs w:val="32"/>
          <w:lang w:val="en-IN"/>
        </w:rPr>
        <w:t>Outlook:</w:t>
      </w:r>
    </w:p>
    <w:p w14:paraId="6E0D4D3C" w14:textId="27C90676" w:rsidR="006D37B6" w:rsidRDefault="006D37B6" w:rsidP="00E3209C">
      <w:pPr>
        <w:spacing w:line="259" w:lineRule="auto"/>
        <w:jc w:val="both"/>
        <w:rPr>
          <w:rFonts w:ascii="Arial" w:hAnsi="Arial"/>
          <w:sz w:val="32"/>
          <w:szCs w:val="32"/>
          <w:lang w:val="en-IN"/>
        </w:rPr>
      </w:pPr>
      <w:r w:rsidRPr="006D37B6">
        <w:rPr>
          <w:rFonts w:ascii="Arial" w:hAnsi="Arial"/>
          <w:sz w:val="32"/>
          <w:szCs w:val="32"/>
          <w:lang w:val="en-IN"/>
        </w:rPr>
        <w:t xml:space="preserve">IPH’s strategy for now is focused on organic growth and in Canada, management expects more benefits from its market-leading integrated platform. In Asia, the company aims to benefit from higher filing activity by targeting </w:t>
      </w:r>
      <w:r w:rsidRPr="006D37B6">
        <w:rPr>
          <w:rFonts w:ascii="Arial" w:hAnsi="Arial"/>
          <w:sz w:val="32"/>
          <w:szCs w:val="32"/>
          <w:lang w:val="en-IN"/>
        </w:rPr>
        <w:lastRenderedPageBreak/>
        <w:t>international corporate clients and case transfers. Business development efforts in ANZ have been redirected toward Western Europe, Japan, South Korea and Chinese inbound filings. IPH also plans deeper use of AI in core operations to streamline workflow, lower costs and improve client service. Management noted filing performance has improved since the AGM.</w:t>
      </w:r>
    </w:p>
    <w:p w14:paraId="7CF8FBFE" w14:textId="77777777" w:rsidR="00E3209C" w:rsidRDefault="00E3209C" w:rsidP="00E3209C">
      <w:pPr>
        <w:spacing w:line="259" w:lineRule="auto"/>
        <w:jc w:val="both"/>
        <w:rPr>
          <w:rFonts w:ascii="Arial" w:hAnsi="Arial"/>
          <w:sz w:val="32"/>
          <w:szCs w:val="32"/>
          <w:lang w:val="en-IN"/>
        </w:rPr>
      </w:pPr>
    </w:p>
    <w:p w14:paraId="1C5949E5" w14:textId="7D457E5A" w:rsidR="001032E8" w:rsidRDefault="005F77B4" w:rsidP="00E3209C">
      <w:pPr>
        <w:spacing w:after="240" w:line="259" w:lineRule="auto"/>
        <w:jc w:val="both"/>
        <w:rPr>
          <w:rFonts w:ascii="Arial" w:hAnsi="Arial"/>
          <w:b/>
          <w:bCs/>
          <w:sz w:val="32"/>
          <w:szCs w:val="32"/>
          <w:lang w:val="en-IN"/>
        </w:rPr>
      </w:pPr>
      <w:r>
        <w:rPr>
          <w:rFonts w:ascii="Arial" w:hAnsi="Arial"/>
          <w:b/>
          <w:bCs/>
          <w:sz w:val="32"/>
          <w:szCs w:val="32"/>
          <w:lang w:val="en-IN"/>
        </w:rPr>
        <w:t>Technical Analysis:</w:t>
      </w:r>
    </w:p>
    <w:p w14:paraId="33C4B7CE" w14:textId="5218300F" w:rsidR="00832C26" w:rsidRDefault="00832C26" w:rsidP="00E3209C">
      <w:pPr>
        <w:spacing w:line="259" w:lineRule="auto"/>
        <w:jc w:val="both"/>
        <w:rPr>
          <w:rFonts w:ascii="Arial" w:hAnsi="Arial"/>
          <w:b/>
          <w:bCs/>
          <w:sz w:val="32"/>
          <w:szCs w:val="32"/>
          <w:lang w:val="en-IN"/>
        </w:rPr>
      </w:pPr>
      <w:r w:rsidRPr="00E3209C">
        <w:rPr>
          <w:rFonts w:ascii="Arial" w:hAnsi="Arial" w:cs="Arial"/>
          <w:noProof/>
          <w:sz w:val="32"/>
          <w:szCs w:val="32"/>
        </w:rPr>
        <w:drawing>
          <wp:inline distT="0" distB="0" distL="0" distR="0" wp14:anchorId="6416AA08" wp14:editId="358FC15D">
            <wp:extent cx="5274310" cy="2360295"/>
            <wp:effectExtent l="0" t="0" r="2540" b="1905"/>
            <wp:docPr id="7184718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360295"/>
                    </a:xfrm>
                    <a:prstGeom prst="rect">
                      <a:avLst/>
                    </a:prstGeom>
                    <a:noFill/>
                    <a:ln>
                      <a:noFill/>
                    </a:ln>
                  </pic:spPr>
                </pic:pic>
              </a:graphicData>
            </a:graphic>
          </wp:inline>
        </w:drawing>
      </w:r>
    </w:p>
    <w:p w14:paraId="050B473D" w14:textId="236BA927" w:rsidR="00D61EF4" w:rsidRPr="006B2104" w:rsidRDefault="00832C26" w:rsidP="00E3209C">
      <w:pPr>
        <w:spacing w:line="259" w:lineRule="auto"/>
        <w:jc w:val="both"/>
        <w:rPr>
          <w:rFonts w:ascii="Arial" w:hAnsi="Arial"/>
          <w:b/>
          <w:bCs/>
          <w:sz w:val="32"/>
          <w:szCs w:val="32"/>
          <w:lang w:val="en-IN"/>
        </w:rPr>
      </w:pPr>
      <w:r w:rsidRPr="00E3209C">
        <w:rPr>
          <w:rFonts w:ascii="Arial" w:hAnsi="Arial" w:cs="Arial"/>
          <w:noProof/>
          <w:sz w:val="32"/>
          <w:szCs w:val="32"/>
        </w:rPr>
        <w:drawing>
          <wp:inline distT="0" distB="0" distL="0" distR="0" wp14:anchorId="2BBBF4A2" wp14:editId="0E09A781">
            <wp:extent cx="5274310" cy="2347595"/>
            <wp:effectExtent l="0" t="0" r="2540" b="0"/>
            <wp:docPr id="9055640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2347595"/>
                    </a:xfrm>
                    <a:prstGeom prst="rect">
                      <a:avLst/>
                    </a:prstGeom>
                    <a:noFill/>
                    <a:ln>
                      <a:noFill/>
                    </a:ln>
                  </pic:spPr>
                </pic:pic>
              </a:graphicData>
            </a:graphic>
          </wp:inline>
        </w:drawing>
      </w:r>
    </w:p>
    <w:p w14:paraId="1C5619D4" w14:textId="0D39FF7E" w:rsidR="001032E8" w:rsidRDefault="005F77B4" w:rsidP="00E3209C">
      <w:pPr>
        <w:spacing w:after="240" w:line="259" w:lineRule="auto"/>
        <w:jc w:val="both"/>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(Chart source: TradingView) </w:t>
      </w:r>
      <w:r w:rsidR="004D7677">
        <w:rPr>
          <w:rFonts w:ascii="Arial" w:hAnsi="Arial" w:cs="Arial"/>
          <w:color w:val="000000"/>
          <w:sz w:val="32"/>
          <w:szCs w:val="32"/>
          <w:shd w:val="clear" w:color="auto" w:fill="FFFFFF"/>
        </w:rPr>
        <w:t xml:space="preserve">Daily and </w:t>
      </w:r>
      <w:r>
        <w:rPr>
          <w:rFonts w:ascii="Arial" w:hAnsi="Arial" w:cs="Arial"/>
          <w:color w:val="000000"/>
          <w:sz w:val="32"/>
          <w:szCs w:val="32"/>
          <w:shd w:val="clear" w:color="auto" w:fill="FFFFFF"/>
        </w:rPr>
        <w:t>Weekly Candlestick Price Chart Pattern</w:t>
      </w:r>
    </w:p>
    <w:p w14:paraId="2284258D" w14:textId="004B76BA" w:rsidR="00832C26" w:rsidRDefault="00832C26" w:rsidP="00E3209C">
      <w:pPr>
        <w:spacing w:line="259" w:lineRule="auto"/>
        <w:jc w:val="both"/>
        <w:rPr>
          <w:rFonts w:ascii="Arial" w:hAnsi="Arial" w:cs="Arial"/>
          <w:color w:val="000000"/>
          <w:sz w:val="32"/>
          <w:szCs w:val="32"/>
          <w:shd w:val="clear" w:color="auto" w:fill="FFFFFF"/>
        </w:rPr>
      </w:pPr>
      <w:r w:rsidRPr="00832C26">
        <w:rPr>
          <w:rFonts w:ascii="Arial" w:hAnsi="Arial" w:cs="Arial"/>
          <w:color w:val="000000"/>
          <w:sz w:val="32"/>
          <w:szCs w:val="32"/>
          <w:shd w:val="clear" w:color="auto" w:fill="FFFFFF"/>
        </w:rPr>
        <w:t xml:space="preserve">IPH is showing a constructive recovery with price climbing above both the 20 and 50 EMAs (Exponential Moving Average). The recent series of higher lows and stronger bullish candles suggests improving momentum and </w:t>
      </w:r>
      <w:r w:rsidRPr="00832C26">
        <w:rPr>
          <w:rFonts w:ascii="Arial" w:hAnsi="Arial" w:cs="Arial"/>
          <w:color w:val="000000"/>
          <w:sz w:val="32"/>
          <w:szCs w:val="32"/>
          <w:shd w:val="clear" w:color="auto" w:fill="FFFFFF"/>
        </w:rPr>
        <w:lastRenderedPageBreak/>
        <w:t>growing buyer confidence after the previous correction. A sustained breakout above this level could trigger further upside toward the next major resistance keeping the short</w:t>
      </w:r>
      <w:r w:rsidR="00EA4D62">
        <w:rPr>
          <w:rFonts w:ascii="Arial" w:hAnsi="Arial" w:cs="Arial"/>
          <w:color w:val="000000"/>
          <w:sz w:val="32"/>
          <w:szCs w:val="32"/>
          <w:shd w:val="clear" w:color="auto" w:fill="FFFFFF"/>
        </w:rPr>
        <w:t>-</w:t>
      </w:r>
      <w:r w:rsidRPr="00832C26">
        <w:rPr>
          <w:rFonts w:ascii="Arial" w:hAnsi="Arial" w:cs="Arial"/>
          <w:color w:val="000000"/>
          <w:sz w:val="32"/>
          <w:szCs w:val="32"/>
          <w:shd w:val="clear" w:color="auto" w:fill="FFFFFF"/>
        </w:rPr>
        <w:t xml:space="preserve"> term outlook positive and supportive of trend continuation.</w:t>
      </w:r>
      <w:r w:rsidRPr="00832C26">
        <w:rPr>
          <w:rFonts w:ascii="Arial" w:hAnsi="Arial" w:cs="Arial"/>
          <w:color w:val="000000"/>
          <w:sz w:val="32"/>
          <w:szCs w:val="32"/>
          <w:shd w:val="clear" w:color="auto" w:fill="FFFFFF"/>
        </w:rPr>
        <w:br/>
        <w:t>On the weekly chart, IPH is showing constructive follow through to the daily strength with price reclaiming and holding above the key support zone while improving from recent lows. The stock is now trading around the 20</w:t>
      </w:r>
      <w:r w:rsidR="00EA4D62">
        <w:rPr>
          <w:rFonts w:ascii="Arial" w:hAnsi="Arial" w:cs="Arial"/>
          <w:color w:val="000000"/>
          <w:sz w:val="32"/>
          <w:szCs w:val="32"/>
          <w:shd w:val="clear" w:color="auto" w:fill="FFFFFF"/>
        </w:rPr>
        <w:t>-</w:t>
      </w:r>
      <w:r w:rsidRPr="00832C26">
        <w:rPr>
          <w:rFonts w:ascii="Arial" w:hAnsi="Arial" w:cs="Arial"/>
          <w:color w:val="000000"/>
          <w:sz w:val="32"/>
          <w:szCs w:val="32"/>
          <w:shd w:val="clear" w:color="auto" w:fill="FFFFFF"/>
        </w:rPr>
        <w:t>week EMA suggesting momentum is shifting positively after a prolonged correction and sustained closes above this level could open the path toward the dynamic resistance zone near 50 EMA.</w:t>
      </w:r>
    </w:p>
    <w:p w14:paraId="2FDD49D5" w14:textId="77777777" w:rsidR="00E3209C" w:rsidRDefault="00E3209C" w:rsidP="00E3209C">
      <w:pPr>
        <w:spacing w:line="259" w:lineRule="auto"/>
        <w:jc w:val="both"/>
        <w:rPr>
          <w:rFonts w:ascii="Arial" w:hAnsi="Arial" w:cs="Arial"/>
          <w:color w:val="000000"/>
          <w:sz w:val="32"/>
          <w:szCs w:val="32"/>
          <w:shd w:val="clear" w:color="auto" w:fill="FFFFFF"/>
        </w:rPr>
      </w:pPr>
    </w:p>
    <w:p w14:paraId="3D0D875B" w14:textId="77777777" w:rsidR="001032E8" w:rsidRDefault="005F77B4" w:rsidP="00E3209C">
      <w:pPr>
        <w:spacing w:after="240" w:line="259" w:lineRule="auto"/>
        <w:jc w:val="both"/>
        <w:rPr>
          <w:rFonts w:ascii="Arial" w:hAnsi="Arial"/>
          <w:b/>
          <w:bCs/>
          <w:sz w:val="32"/>
          <w:szCs w:val="32"/>
          <w:lang w:val="en-IN"/>
        </w:rPr>
      </w:pPr>
      <w:r>
        <w:rPr>
          <w:rFonts w:ascii="Arial" w:hAnsi="Arial"/>
          <w:b/>
          <w:bCs/>
          <w:sz w:val="32"/>
          <w:szCs w:val="32"/>
          <w:lang w:val="en-IN"/>
        </w:rPr>
        <w:t xml:space="preserve">Veye’s Take: </w:t>
      </w:r>
    </w:p>
    <w:p w14:paraId="29B6F6DB" w14:textId="1DE9DFB3" w:rsidR="00F272F1" w:rsidRDefault="00C3349D" w:rsidP="00E3209C">
      <w:pPr>
        <w:spacing w:after="240" w:line="259" w:lineRule="auto"/>
        <w:jc w:val="both"/>
        <w:rPr>
          <w:rFonts w:ascii="Arial" w:hAnsi="Arial" w:cs="Arial"/>
          <w:b/>
          <w:bCs/>
          <w:sz w:val="32"/>
          <w:szCs w:val="32"/>
          <w:lang w:val="en-IN"/>
        </w:rPr>
      </w:pPr>
      <w:r w:rsidRPr="00C3349D">
        <w:rPr>
          <w:rFonts w:ascii="Arial" w:hAnsi="Arial"/>
          <w:sz w:val="32"/>
          <w:szCs w:val="32"/>
          <w:lang w:val="en-IN"/>
        </w:rPr>
        <w:t xml:space="preserve">IPH is a high-quality and relatively defensive ASX business with strong positions across intellectual property services and also has broad geographic exposure. The company also benefits from operational efficiencies, shareholder friendly capital returns and long-term demand linked to global innovation. The valuation looks reasonable as the forward price/cashflow ratio is 6.35 versus the industry median of 7.42 while the price/book ratio of 1.34 </w:t>
      </w:r>
      <w:r w:rsidR="00A97927">
        <w:rPr>
          <w:rFonts w:ascii="Arial" w:hAnsi="Arial"/>
          <w:sz w:val="32"/>
          <w:szCs w:val="32"/>
          <w:lang w:val="en-IN"/>
        </w:rPr>
        <w:t xml:space="preserve">is </w:t>
      </w:r>
      <w:r w:rsidRPr="00C3349D">
        <w:rPr>
          <w:rFonts w:ascii="Arial" w:hAnsi="Arial"/>
          <w:sz w:val="32"/>
          <w:szCs w:val="32"/>
          <w:lang w:val="en-IN"/>
        </w:rPr>
        <w:t xml:space="preserve">modest for a relatively capital light business. </w:t>
      </w:r>
      <w:r w:rsidR="00B41606">
        <w:rPr>
          <w:rFonts w:ascii="Arial" w:hAnsi="Arial"/>
          <w:sz w:val="32"/>
          <w:szCs w:val="32"/>
          <w:lang w:val="en-IN"/>
        </w:rPr>
        <w:t>L</w:t>
      </w:r>
      <w:r w:rsidRPr="00C3349D">
        <w:rPr>
          <w:rFonts w:ascii="Arial" w:hAnsi="Arial"/>
          <w:sz w:val="32"/>
          <w:szCs w:val="32"/>
          <w:lang w:val="en-IN"/>
        </w:rPr>
        <w:t xml:space="preserve">iquidity </w:t>
      </w:r>
      <w:r w:rsidR="00772E14">
        <w:rPr>
          <w:rFonts w:ascii="Arial" w:hAnsi="Arial"/>
          <w:sz w:val="32"/>
          <w:szCs w:val="32"/>
          <w:lang w:val="en-IN"/>
        </w:rPr>
        <w:t xml:space="preserve">is </w:t>
      </w:r>
      <w:r w:rsidRPr="00C3349D">
        <w:rPr>
          <w:rFonts w:ascii="Arial" w:hAnsi="Arial"/>
          <w:sz w:val="32"/>
          <w:szCs w:val="32"/>
          <w:lang w:val="en-IN"/>
        </w:rPr>
        <w:t xml:space="preserve">comfortable as the current ratio has remained consistently between 2 and 3 in recent years. Overall, IPH </w:t>
      </w:r>
      <w:r w:rsidR="00A72C32">
        <w:rPr>
          <w:rFonts w:ascii="Arial" w:hAnsi="Arial"/>
          <w:sz w:val="32"/>
          <w:szCs w:val="32"/>
          <w:lang w:val="en-IN"/>
        </w:rPr>
        <w:t xml:space="preserve">is </w:t>
      </w:r>
      <w:r w:rsidRPr="00C3349D">
        <w:rPr>
          <w:rFonts w:ascii="Arial" w:hAnsi="Arial"/>
          <w:sz w:val="32"/>
          <w:szCs w:val="32"/>
          <w:lang w:val="en-IN"/>
        </w:rPr>
        <w:t>a good pick, especially for dividend focused investors who seek passive income at sensible valuation along with long- term growth potential</w:t>
      </w:r>
      <w:r w:rsidR="00CF2D3C">
        <w:rPr>
          <w:rFonts w:ascii="Arial" w:hAnsi="Arial"/>
          <w:sz w:val="32"/>
          <w:szCs w:val="32"/>
          <w:lang w:val="en-IN"/>
        </w:rPr>
        <w:t xml:space="preserve">. </w:t>
      </w:r>
      <w:r w:rsidR="00CF2D3C">
        <w:rPr>
          <w:rFonts w:ascii="Arial" w:hAnsi="Arial" w:cs="Arial"/>
          <w:b/>
          <w:bCs/>
          <w:sz w:val="32"/>
          <w:szCs w:val="32"/>
          <w:lang w:val="en-IN"/>
        </w:rPr>
        <w:t>Veye recommends a “Buy” on “</w:t>
      </w:r>
      <w:r w:rsidR="00CE6E22" w:rsidRPr="007F3C5C">
        <w:rPr>
          <w:rFonts w:ascii="Arial" w:hAnsi="Arial"/>
          <w:b/>
          <w:bCs/>
          <w:sz w:val="32"/>
          <w:szCs w:val="32"/>
        </w:rPr>
        <w:t>IPH Limited</w:t>
      </w:r>
      <w:r w:rsidR="00CF2D3C">
        <w:rPr>
          <w:rFonts w:ascii="Arial" w:hAnsi="Arial" w:cs="Arial"/>
          <w:b/>
          <w:bCs/>
          <w:sz w:val="32"/>
          <w:szCs w:val="32"/>
          <w:lang w:val="en-IN"/>
        </w:rPr>
        <w:t>” at the closing price of $</w:t>
      </w:r>
      <w:r w:rsidR="00F37824">
        <w:rPr>
          <w:rFonts w:ascii="Arial" w:hAnsi="Arial" w:cs="Arial"/>
          <w:b/>
          <w:bCs/>
          <w:sz w:val="32"/>
          <w:szCs w:val="32"/>
          <w:lang w:val="en-IN"/>
        </w:rPr>
        <w:t>3.56</w:t>
      </w:r>
      <w:r w:rsidR="00CF2D3C">
        <w:rPr>
          <w:rFonts w:ascii="Arial" w:hAnsi="Arial" w:cs="Arial"/>
          <w:b/>
          <w:bCs/>
          <w:sz w:val="32"/>
          <w:szCs w:val="32"/>
          <w:lang w:val="en-IN"/>
        </w:rPr>
        <w:t xml:space="preserve"> (As of</w:t>
      </w:r>
      <w:r w:rsidR="005C0E3E">
        <w:rPr>
          <w:rFonts w:ascii="Arial" w:hAnsi="Arial" w:cs="Arial"/>
          <w:b/>
          <w:bCs/>
          <w:sz w:val="32"/>
          <w:szCs w:val="32"/>
          <w:lang w:val="en-IN"/>
        </w:rPr>
        <w:t xml:space="preserve"> 2</w:t>
      </w:r>
      <w:r w:rsidR="00CE6E22">
        <w:rPr>
          <w:rFonts w:ascii="Arial" w:hAnsi="Arial" w:cs="Arial"/>
          <w:b/>
          <w:bCs/>
          <w:sz w:val="32"/>
          <w:szCs w:val="32"/>
          <w:lang w:val="en-IN"/>
        </w:rPr>
        <w:t>4 April</w:t>
      </w:r>
      <w:r w:rsidR="004F39B6">
        <w:rPr>
          <w:rFonts w:ascii="Arial" w:hAnsi="Arial" w:cs="Arial"/>
          <w:b/>
          <w:bCs/>
          <w:sz w:val="32"/>
          <w:szCs w:val="32"/>
          <w:lang w:val="en-IN"/>
        </w:rPr>
        <w:t xml:space="preserve"> </w:t>
      </w:r>
      <w:r w:rsidR="00CF2D3C">
        <w:rPr>
          <w:rFonts w:ascii="Arial" w:hAnsi="Arial" w:cs="Arial"/>
          <w:b/>
          <w:bCs/>
          <w:sz w:val="32"/>
          <w:szCs w:val="32"/>
          <w:lang w:val="en-IN"/>
        </w:rPr>
        <w:t>202</w:t>
      </w:r>
      <w:r w:rsidR="004F39B6">
        <w:rPr>
          <w:rFonts w:ascii="Arial" w:hAnsi="Arial" w:cs="Arial"/>
          <w:b/>
          <w:bCs/>
          <w:sz w:val="32"/>
          <w:szCs w:val="32"/>
          <w:lang w:val="en-IN"/>
        </w:rPr>
        <w:t>6</w:t>
      </w:r>
      <w:r w:rsidR="00CF2D3C">
        <w:rPr>
          <w:rFonts w:ascii="Arial" w:hAnsi="Arial" w:cs="Arial"/>
          <w:b/>
          <w:bCs/>
          <w:sz w:val="32"/>
          <w:szCs w:val="32"/>
          <w:lang w:val="en-IN"/>
        </w:rPr>
        <w:t xml:space="preserve">). </w:t>
      </w:r>
    </w:p>
    <w:p w14:paraId="08328C36" w14:textId="1E046582" w:rsidR="001032E8" w:rsidRDefault="005F77B4" w:rsidP="00E3209C">
      <w:pPr>
        <w:spacing w:line="259" w:lineRule="auto"/>
        <w:jc w:val="both"/>
        <w:rPr>
          <w:rFonts w:ascii="Arial" w:hAnsi="Arial" w:cs="Arial"/>
          <w:b/>
          <w:bCs/>
          <w:sz w:val="32"/>
          <w:szCs w:val="32"/>
          <w:lang w:val="en-IN"/>
        </w:rPr>
      </w:pPr>
      <w:r>
        <w:rPr>
          <w:rStyle w:val="Strong"/>
          <w:rFonts w:ascii="Arial" w:hAnsi="Arial" w:cs="Arial"/>
          <w:color w:val="000000"/>
          <w:sz w:val="32"/>
          <w:szCs w:val="32"/>
          <w:shd w:val="clear" w:color="auto" w:fill="FFFFFF"/>
        </w:rPr>
        <w:t>*All Data has been sourced from Company announcements and Refinitiv, Thomson Reuters</w:t>
      </w:r>
    </w:p>
    <w:p w14:paraId="1639B3AF" w14:textId="77777777" w:rsidR="001032E8" w:rsidRDefault="001032E8" w:rsidP="00E3209C">
      <w:pPr>
        <w:spacing w:line="259" w:lineRule="auto"/>
        <w:jc w:val="both"/>
        <w:rPr>
          <w:rFonts w:ascii="Arial" w:hAnsi="Arial"/>
          <w:sz w:val="32"/>
          <w:szCs w:val="32"/>
          <w:lang w:val="en-IN"/>
        </w:rPr>
      </w:pPr>
    </w:p>
    <w:sectPr w:rsidR="001032E8">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ns-serif">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VerticalSpacing w:val="156"/>
  <w:noPunctuationKerning/>
  <w:characterSpacingControl w:val="doNotCompress"/>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1707B28"/>
    <w:rsid w:val="00012794"/>
    <w:rsid w:val="00025866"/>
    <w:rsid w:val="00032387"/>
    <w:rsid w:val="00081E16"/>
    <w:rsid w:val="000851EE"/>
    <w:rsid w:val="000A3DCB"/>
    <w:rsid w:val="000A481A"/>
    <w:rsid w:val="000B115B"/>
    <w:rsid w:val="000D47C3"/>
    <w:rsid w:val="000F3C16"/>
    <w:rsid w:val="000F6DCA"/>
    <w:rsid w:val="000F75ED"/>
    <w:rsid w:val="00102E16"/>
    <w:rsid w:val="001032E8"/>
    <w:rsid w:val="001417A4"/>
    <w:rsid w:val="001451E8"/>
    <w:rsid w:val="0014535B"/>
    <w:rsid w:val="00157D1E"/>
    <w:rsid w:val="00191B2B"/>
    <w:rsid w:val="00194026"/>
    <w:rsid w:val="001A561A"/>
    <w:rsid w:val="001B45BB"/>
    <w:rsid w:val="001B74E1"/>
    <w:rsid w:val="001D1F92"/>
    <w:rsid w:val="002173F2"/>
    <w:rsid w:val="00224409"/>
    <w:rsid w:val="0023722B"/>
    <w:rsid w:val="00242EA1"/>
    <w:rsid w:val="002630CA"/>
    <w:rsid w:val="00273F8D"/>
    <w:rsid w:val="002910DC"/>
    <w:rsid w:val="00294740"/>
    <w:rsid w:val="00296F94"/>
    <w:rsid w:val="002A5FAE"/>
    <w:rsid w:val="002C3077"/>
    <w:rsid w:val="002C7EFF"/>
    <w:rsid w:val="0030652D"/>
    <w:rsid w:val="00325A37"/>
    <w:rsid w:val="00330D36"/>
    <w:rsid w:val="003541F5"/>
    <w:rsid w:val="003A7A99"/>
    <w:rsid w:val="003B7574"/>
    <w:rsid w:val="003D4017"/>
    <w:rsid w:val="003D6AD8"/>
    <w:rsid w:val="00417445"/>
    <w:rsid w:val="004443EF"/>
    <w:rsid w:val="00486E19"/>
    <w:rsid w:val="00490B18"/>
    <w:rsid w:val="004D7677"/>
    <w:rsid w:val="004E3E7B"/>
    <w:rsid w:val="004E4C1A"/>
    <w:rsid w:val="004E58A6"/>
    <w:rsid w:val="004F39B6"/>
    <w:rsid w:val="00511152"/>
    <w:rsid w:val="005173F3"/>
    <w:rsid w:val="00553482"/>
    <w:rsid w:val="00567474"/>
    <w:rsid w:val="00593C16"/>
    <w:rsid w:val="005B6E9D"/>
    <w:rsid w:val="005C0E3E"/>
    <w:rsid w:val="005C0E9E"/>
    <w:rsid w:val="005C2425"/>
    <w:rsid w:val="005E02F4"/>
    <w:rsid w:val="005F77B4"/>
    <w:rsid w:val="006232B2"/>
    <w:rsid w:val="006549CF"/>
    <w:rsid w:val="006604AF"/>
    <w:rsid w:val="006B2104"/>
    <w:rsid w:val="006D37B6"/>
    <w:rsid w:val="006D7057"/>
    <w:rsid w:val="006E4745"/>
    <w:rsid w:val="006F4533"/>
    <w:rsid w:val="00705951"/>
    <w:rsid w:val="00733CB7"/>
    <w:rsid w:val="007523AA"/>
    <w:rsid w:val="00772E14"/>
    <w:rsid w:val="007A1CDF"/>
    <w:rsid w:val="007A6A81"/>
    <w:rsid w:val="007B1E90"/>
    <w:rsid w:val="007C1814"/>
    <w:rsid w:val="007D1594"/>
    <w:rsid w:val="007D1A9E"/>
    <w:rsid w:val="007F3C5C"/>
    <w:rsid w:val="007F50EA"/>
    <w:rsid w:val="00802591"/>
    <w:rsid w:val="00832C26"/>
    <w:rsid w:val="0083471A"/>
    <w:rsid w:val="00867DD4"/>
    <w:rsid w:val="0089290A"/>
    <w:rsid w:val="00892CE3"/>
    <w:rsid w:val="008C759C"/>
    <w:rsid w:val="008D3513"/>
    <w:rsid w:val="008F7E4D"/>
    <w:rsid w:val="00905AA1"/>
    <w:rsid w:val="00907149"/>
    <w:rsid w:val="00911A17"/>
    <w:rsid w:val="00936854"/>
    <w:rsid w:val="00941DE1"/>
    <w:rsid w:val="00962134"/>
    <w:rsid w:val="009B5E37"/>
    <w:rsid w:val="009F28DC"/>
    <w:rsid w:val="009F4FE8"/>
    <w:rsid w:val="00A12F43"/>
    <w:rsid w:val="00A13ECB"/>
    <w:rsid w:val="00A17457"/>
    <w:rsid w:val="00A65C7B"/>
    <w:rsid w:val="00A72C32"/>
    <w:rsid w:val="00A97927"/>
    <w:rsid w:val="00AA0B9D"/>
    <w:rsid w:val="00AC070E"/>
    <w:rsid w:val="00AC09C9"/>
    <w:rsid w:val="00AF7E34"/>
    <w:rsid w:val="00B41606"/>
    <w:rsid w:val="00B6584B"/>
    <w:rsid w:val="00B76332"/>
    <w:rsid w:val="00B76758"/>
    <w:rsid w:val="00B81FD8"/>
    <w:rsid w:val="00B91051"/>
    <w:rsid w:val="00BB5E54"/>
    <w:rsid w:val="00BF3A5F"/>
    <w:rsid w:val="00BF7C0A"/>
    <w:rsid w:val="00C211DA"/>
    <w:rsid w:val="00C3349D"/>
    <w:rsid w:val="00C470A0"/>
    <w:rsid w:val="00C550E9"/>
    <w:rsid w:val="00C6084F"/>
    <w:rsid w:val="00CB1D03"/>
    <w:rsid w:val="00CB5A0B"/>
    <w:rsid w:val="00CE6E22"/>
    <w:rsid w:val="00CF2D3C"/>
    <w:rsid w:val="00CF45EA"/>
    <w:rsid w:val="00D11CFF"/>
    <w:rsid w:val="00D61EF4"/>
    <w:rsid w:val="00D62F67"/>
    <w:rsid w:val="00DB3523"/>
    <w:rsid w:val="00E148D5"/>
    <w:rsid w:val="00E16907"/>
    <w:rsid w:val="00E20DCF"/>
    <w:rsid w:val="00E273BD"/>
    <w:rsid w:val="00E3209C"/>
    <w:rsid w:val="00E364CA"/>
    <w:rsid w:val="00E4309C"/>
    <w:rsid w:val="00E57675"/>
    <w:rsid w:val="00E62248"/>
    <w:rsid w:val="00E67B2B"/>
    <w:rsid w:val="00E711A7"/>
    <w:rsid w:val="00E74FC6"/>
    <w:rsid w:val="00E90C37"/>
    <w:rsid w:val="00E96952"/>
    <w:rsid w:val="00EA43E8"/>
    <w:rsid w:val="00EA4D62"/>
    <w:rsid w:val="00EB4EB0"/>
    <w:rsid w:val="00EC0A67"/>
    <w:rsid w:val="00EC4212"/>
    <w:rsid w:val="00ED35B2"/>
    <w:rsid w:val="00F15ED9"/>
    <w:rsid w:val="00F26896"/>
    <w:rsid w:val="00F272F1"/>
    <w:rsid w:val="00F37824"/>
    <w:rsid w:val="00F4256D"/>
    <w:rsid w:val="00F42CB4"/>
    <w:rsid w:val="00F4728A"/>
    <w:rsid w:val="00F574F1"/>
    <w:rsid w:val="00F653D0"/>
    <w:rsid w:val="00F65B83"/>
    <w:rsid w:val="00F8273C"/>
    <w:rsid w:val="00F83F09"/>
    <w:rsid w:val="00FA3023"/>
    <w:rsid w:val="00FB085C"/>
    <w:rsid w:val="00FD125A"/>
    <w:rsid w:val="079D6AAC"/>
    <w:rsid w:val="13616E97"/>
    <w:rsid w:val="159020D1"/>
    <w:rsid w:val="44D95DB2"/>
    <w:rsid w:val="51707B28"/>
    <w:rsid w:val="591153FB"/>
    <w:rsid w:val="692847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CFA6CB"/>
  <w15:docId w15:val="{1A1FC9B6-811E-415A-A598-EFC49F112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594"/>
    <w:rPr>
      <w:rFonts w:asciiTheme="minorHAnsi" w:eastAsiaTheme="minorEastAsia" w:hAnsiTheme="minorHAnsi" w:cstheme="minorBidi"/>
      <w:lang w:val="en-US" w:eastAsia="zh-CN"/>
    </w:rPr>
  </w:style>
  <w:style w:type="paragraph" w:styleId="Heading6">
    <w:name w:val="heading 6"/>
    <w:next w:val="Normal"/>
    <w:semiHidden/>
    <w:unhideWhenUsed/>
    <w:qFormat/>
    <w:pPr>
      <w:spacing w:beforeAutospacing="1" w:afterAutospacing="1"/>
      <w:outlineLvl w:val="5"/>
    </w:pPr>
    <w:rPr>
      <w:rFonts w:ascii="SimSun" w:hAnsi="SimSun" w:hint="eastAsia"/>
      <w:b/>
      <w:bCs/>
      <w:sz w:val="15"/>
      <w:szCs w:val="15"/>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paragraph" w:styleId="Footer">
    <w:name w:val="footer"/>
    <w:basedOn w:val="Normal"/>
    <w:link w:val="FooterChar"/>
    <w:pPr>
      <w:tabs>
        <w:tab w:val="center" w:pos="4513"/>
        <w:tab w:val="right" w:pos="9026"/>
      </w:tabs>
    </w:pPr>
  </w:style>
  <w:style w:type="paragraph" w:styleId="Header">
    <w:name w:val="header"/>
    <w:basedOn w:val="Normal"/>
    <w:link w:val="HeaderChar"/>
    <w:pPr>
      <w:tabs>
        <w:tab w:val="center" w:pos="4513"/>
        <w:tab w:val="right" w:pos="9026"/>
      </w:tabs>
    </w:pPr>
  </w:style>
  <w:style w:type="paragraph" w:styleId="NormalWeb">
    <w:name w:val="Normal (Web)"/>
    <w:pPr>
      <w:spacing w:beforeAutospacing="1" w:afterAutospacing="1"/>
    </w:pPr>
    <w:rPr>
      <w:sz w:val="24"/>
      <w:szCs w:val="24"/>
      <w:lang w:val="en-US" w:eastAsia="zh-CN"/>
    </w:rPr>
  </w:style>
  <w:style w:type="character" w:styleId="Strong">
    <w:name w:val="Strong"/>
    <w:basedOn w:val="DefaultParagraphFont"/>
    <w:uiPriority w:val="22"/>
    <w:qFormat/>
    <w:rPr>
      <w:b/>
      <w:bCs/>
    </w:rPr>
  </w:style>
  <w:style w:type="paragraph" w:styleId="NoSpacing">
    <w:name w:val="No Spacing"/>
    <w:uiPriority w:val="1"/>
    <w:qFormat/>
    <w:rPr>
      <w:rFonts w:asciiTheme="minorHAnsi" w:eastAsiaTheme="minorHAnsi" w:hAnsiTheme="minorHAnsi" w:cstheme="minorBidi"/>
      <w:kern w:val="2"/>
      <w:sz w:val="22"/>
      <w:szCs w:val="22"/>
      <w:lang w:val="en-US" w:eastAsia="en-US"/>
      <w14:ligatures w14:val="standardContextual"/>
    </w:rPr>
  </w:style>
  <w:style w:type="character" w:customStyle="1" w:styleId="HeaderChar">
    <w:name w:val="Header Char"/>
    <w:basedOn w:val="DefaultParagraphFont"/>
    <w:link w:val="Header"/>
    <w:rPr>
      <w:rFonts w:asciiTheme="minorHAnsi" w:eastAsiaTheme="minorEastAsia" w:hAnsiTheme="minorHAnsi" w:cstheme="minorBidi"/>
      <w:lang w:val="en-US" w:eastAsia="zh-CN"/>
    </w:rPr>
  </w:style>
  <w:style w:type="character" w:customStyle="1" w:styleId="FooterChar">
    <w:name w:val="Footer Char"/>
    <w:basedOn w:val="DefaultParagraphFont"/>
    <w:link w:val="Footer"/>
    <w:rPr>
      <w:rFonts w:asciiTheme="minorHAnsi" w:eastAsiaTheme="minorEastAsia" w:hAnsiTheme="minorHAnsi" w:cstheme="minorBidi"/>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9</Pages>
  <Words>1282</Words>
  <Characters>7313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Yash Diwali experiments</dc:creator>
  <cp:lastModifiedBy>Dhawal Sood</cp:lastModifiedBy>
  <cp:revision>3</cp:revision>
  <dcterms:created xsi:type="dcterms:W3CDTF">2026-04-26T12:25:00Z</dcterms:created>
  <dcterms:modified xsi:type="dcterms:W3CDTF">2026-04-28T01:22:00Z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5AB03E726F0242DD9D4B85F65ABEDE9C_13</vt:lpwstr>
  </property>
</Properties>
</file>